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F668" w14:textId="6497469C" w:rsidR="00CD3273" w:rsidRDefault="00CD3273" w:rsidP="003F27A3">
      <w:r w:rsidRPr="00CD3273">
        <w:t>YESTEM Insight</w:t>
      </w:r>
      <w:r w:rsidR="00BE2DC6">
        <w:t xml:space="preserve"> (Accessible version)</w:t>
      </w:r>
    </w:p>
    <w:p w14:paraId="265C5EE3" w14:textId="29452E0B" w:rsidR="00314D31" w:rsidRPr="00CD3273" w:rsidRDefault="00314D31" w:rsidP="003F27A3">
      <w:r>
        <w:t xml:space="preserve">Original version: </w:t>
      </w:r>
      <w:hyperlink r:id="rId8" w:history="1">
        <w:r w:rsidR="00115BC7" w:rsidRPr="00D51405">
          <w:rPr>
            <w:rStyle w:val="Hyperlink"/>
          </w:rPr>
          <w:t>https://yestem.org/wp-content/uploads/2022/09/2022-YESTEM-Insight-Equity-Compass-Funders-Edition.pdf</w:t>
        </w:r>
      </w:hyperlink>
      <w:r w:rsidR="00115BC7">
        <w:t xml:space="preserve"> </w:t>
      </w:r>
    </w:p>
    <w:p w14:paraId="0E5FF132" w14:textId="1B9C55CF" w:rsidR="00CD3273" w:rsidRPr="00CD3273" w:rsidRDefault="00CD3273" w:rsidP="003F27A3">
      <w:pPr>
        <w:pStyle w:val="Heading1"/>
      </w:pPr>
      <w:r w:rsidRPr="00CD3273">
        <w:t>The</w:t>
      </w:r>
      <w:r w:rsidRPr="00CD3273">
        <w:rPr>
          <w:spacing w:val="52"/>
        </w:rPr>
        <w:t xml:space="preserve"> </w:t>
      </w:r>
      <w:r w:rsidRPr="00CD3273">
        <w:t>Equity</w:t>
      </w:r>
      <w:r w:rsidRPr="00CD3273">
        <w:rPr>
          <w:spacing w:val="52"/>
        </w:rPr>
        <w:t xml:space="preserve"> </w:t>
      </w:r>
      <w:r w:rsidRPr="00CD3273">
        <w:t>Compass:</w:t>
      </w:r>
      <w:r w:rsidRPr="00CD3273">
        <w:rPr>
          <w:spacing w:val="-145"/>
        </w:rPr>
        <w:t xml:space="preserve"> </w:t>
      </w:r>
      <w:r>
        <w:t xml:space="preserve"> A</w:t>
      </w:r>
      <w:r w:rsidRPr="00CD3273">
        <w:t xml:space="preserve"> tool for supporting</w:t>
      </w:r>
      <w:r w:rsidRPr="00CD3273">
        <w:rPr>
          <w:spacing w:val="1"/>
        </w:rPr>
        <w:t xml:space="preserve"> </w:t>
      </w:r>
      <w:r w:rsidRPr="00CD3273">
        <w:rPr>
          <w:spacing w:val="-5"/>
        </w:rPr>
        <w:t>socially</w:t>
      </w:r>
      <w:r w:rsidRPr="00CD3273">
        <w:rPr>
          <w:spacing w:val="-34"/>
        </w:rPr>
        <w:t xml:space="preserve"> </w:t>
      </w:r>
      <w:r w:rsidRPr="00CD3273">
        <w:rPr>
          <w:spacing w:val="-5"/>
        </w:rPr>
        <w:t>just</w:t>
      </w:r>
      <w:r w:rsidR="00017112">
        <w:rPr>
          <w:spacing w:val="-5"/>
        </w:rPr>
        <w:t xml:space="preserve"> p</w:t>
      </w:r>
      <w:r w:rsidRPr="00CD3273">
        <w:rPr>
          <w:spacing w:val="-5"/>
        </w:rPr>
        <w:t>ractice</w:t>
      </w:r>
      <w:r w:rsidR="00115BC7">
        <w:rPr>
          <w:spacing w:val="-5"/>
        </w:rPr>
        <w:t xml:space="preserve"> – Funders Edition</w:t>
      </w:r>
    </w:p>
    <w:p w14:paraId="536E4A17" w14:textId="77777777" w:rsidR="009B589A" w:rsidRPr="003957B6" w:rsidRDefault="009B589A" w:rsidP="003F27A3">
      <w:pPr>
        <w:pStyle w:val="Heading2"/>
      </w:pPr>
      <w:r w:rsidRPr="003957B6">
        <w:t>What is the Issue?</w:t>
      </w:r>
    </w:p>
    <w:p w14:paraId="693D0193" w14:textId="77777777" w:rsidR="00115BC7" w:rsidRPr="00115BC7" w:rsidRDefault="00115BC7" w:rsidP="003F27A3">
      <w:pPr>
        <w:pStyle w:val="ListParagraph"/>
        <w:numPr>
          <w:ilvl w:val="0"/>
          <w:numId w:val="4"/>
        </w:numPr>
      </w:pPr>
      <w:r w:rsidRPr="00115BC7">
        <w:t>In the UK and internationally, there are persistent inequalities across</w:t>
      </w:r>
      <w:r w:rsidRPr="00115BC7">
        <w:t xml:space="preserve"> </w:t>
      </w:r>
      <w:r w:rsidRPr="00115BC7">
        <w:t>many aspects of society, from education and employment to</w:t>
      </w:r>
      <w:r>
        <w:t xml:space="preserve"> </w:t>
      </w:r>
      <w:r w:rsidRPr="00115BC7">
        <w:t>healthcare and wellbeing.</w:t>
      </w:r>
    </w:p>
    <w:p w14:paraId="11E992BC" w14:textId="57FD3FF1" w:rsidR="00115BC7" w:rsidRPr="00115BC7" w:rsidRDefault="00115BC7" w:rsidP="003F27A3">
      <w:pPr>
        <w:pStyle w:val="ListParagraph"/>
        <w:numPr>
          <w:ilvl w:val="0"/>
          <w:numId w:val="4"/>
        </w:numPr>
      </w:pPr>
      <w:r>
        <w:t>Funders play a key role in determining the range, scope and focus</w:t>
      </w:r>
      <w:r>
        <w:t xml:space="preserve"> </w:t>
      </w:r>
      <w:r>
        <w:t>of research and development activities, as well as building capacity</w:t>
      </w:r>
      <w:r>
        <w:t xml:space="preserve"> </w:t>
      </w:r>
      <w:r>
        <w:t>and providing thought-leadership and strategic direction within their</w:t>
      </w:r>
      <w:r>
        <w:t xml:space="preserve"> </w:t>
      </w:r>
      <w:r>
        <w:t>sectors</w:t>
      </w:r>
      <w:r>
        <w:t>.</w:t>
      </w:r>
    </w:p>
    <w:p w14:paraId="7C89DD39" w14:textId="475016EE" w:rsidR="00115BC7" w:rsidRPr="00115BC7" w:rsidRDefault="00115BC7" w:rsidP="003F27A3">
      <w:pPr>
        <w:pStyle w:val="ListParagraph"/>
        <w:numPr>
          <w:ilvl w:val="0"/>
          <w:numId w:val="4"/>
        </w:numPr>
      </w:pPr>
      <w:r>
        <w:t>Equality, diversity and inclusion are key priorities for many funders.</w:t>
      </w:r>
      <w:r>
        <w:t xml:space="preserve"> </w:t>
      </w:r>
      <w:r>
        <w:t>By embedding equity within policy and practice and creating inclusive</w:t>
      </w:r>
      <w:r>
        <w:t xml:space="preserve"> </w:t>
      </w:r>
      <w:r>
        <w:t>research and development cultures, funders can help tackle injustices</w:t>
      </w:r>
      <w:r>
        <w:t xml:space="preserve"> </w:t>
      </w:r>
      <w:r>
        <w:t>and make a positive difference to society and people’s lives.</w:t>
      </w:r>
    </w:p>
    <w:p w14:paraId="5B00C81C" w14:textId="77777777" w:rsidR="00115BC7" w:rsidRDefault="00115BC7" w:rsidP="003F27A3">
      <w:pPr>
        <w:pStyle w:val="ListParagraph"/>
        <w:numPr>
          <w:ilvl w:val="0"/>
          <w:numId w:val="4"/>
        </w:numPr>
      </w:pPr>
      <w:r>
        <w:t>In this insight, we introduce the Equity Compass and explain how</w:t>
      </w:r>
      <w:r>
        <w:t xml:space="preserve"> </w:t>
      </w:r>
      <w:r>
        <w:t>this research-based, co-designed reflective framework can be used</w:t>
      </w:r>
      <w:r>
        <w:t xml:space="preserve"> </w:t>
      </w:r>
      <w:r>
        <w:t>by funders. This tool can inform different aspects of funders’ work,</w:t>
      </w:r>
      <w:r>
        <w:t xml:space="preserve"> </w:t>
      </w:r>
      <w:r>
        <w:t>including strategy, funding calls, grant assessment and auditing.</w:t>
      </w:r>
    </w:p>
    <w:p w14:paraId="2F83D25B" w14:textId="337345B7" w:rsidR="00115BC7" w:rsidRPr="00115BC7" w:rsidRDefault="00115BC7" w:rsidP="003F27A3">
      <w:r w:rsidRPr="00115BC7">
        <w:t xml:space="preserve">Whereas </w:t>
      </w:r>
      <w:r w:rsidRPr="00115BC7">
        <w:rPr>
          <w:b/>
          <w:bCs/>
        </w:rPr>
        <w:t>equality</w:t>
      </w:r>
      <w:r w:rsidRPr="00115BC7">
        <w:t xml:space="preserve"> means</w:t>
      </w:r>
      <w:r w:rsidRPr="00115BC7">
        <w:t xml:space="preserve"> </w:t>
      </w:r>
      <w:r w:rsidRPr="00115BC7">
        <w:t>treating everyone the same</w:t>
      </w:r>
      <w:r w:rsidRPr="00115BC7">
        <w:t xml:space="preserve"> </w:t>
      </w:r>
      <w:r w:rsidRPr="00115BC7">
        <w:t>and providing everyone the</w:t>
      </w:r>
      <w:r w:rsidRPr="00115BC7">
        <w:t xml:space="preserve"> </w:t>
      </w:r>
      <w:r w:rsidRPr="00115BC7">
        <w:t xml:space="preserve">same opportunities, an </w:t>
      </w:r>
      <w:r w:rsidRPr="00115BC7">
        <w:rPr>
          <w:b/>
          <w:bCs/>
        </w:rPr>
        <w:t>equity</w:t>
      </w:r>
      <w:r w:rsidRPr="00115BC7">
        <w:t xml:space="preserve"> </w:t>
      </w:r>
      <w:r w:rsidRPr="00115BC7">
        <w:t>approach advocates for</w:t>
      </w:r>
      <w:r w:rsidRPr="00115BC7">
        <w:t xml:space="preserve"> </w:t>
      </w:r>
      <w:r w:rsidRPr="00115BC7">
        <w:t>differential treatment of people</w:t>
      </w:r>
      <w:r w:rsidRPr="00115BC7">
        <w:t xml:space="preserve"> </w:t>
      </w:r>
      <w:r w:rsidRPr="00115BC7">
        <w:t>according to need, while</w:t>
      </w:r>
      <w:r w:rsidRPr="00115BC7">
        <w:t xml:space="preserve"> </w:t>
      </w:r>
      <w:r w:rsidRPr="00115BC7">
        <w:t xml:space="preserve">also </w:t>
      </w:r>
      <w:proofErr w:type="spellStart"/>
      <w:r w:rsidRPr="00115BC7">
        <w:t>recognising</w:t>
      </w:r>
      <w:proofErr w:type="spellEnd"/>
      <w:r w:rsidRPr="00115BC7">
        <w:t xml:space="preserve"> and valuing</w:t>
      </w:r>
      <w:r w:rsidRPr="00115BC7">
        <w:t xml:space="preserve"> </w:t>
      </w:r>
      <w:r w:rsidRPr="00115BC7">
        <w:t>differences between people.</w:t>
      </w:r>
      <w:r w:rsidRPr="00115BC7">
        <w:t xml:space="preserve"> </w:t>
      </w:r>
      <w:r w:rsidRPr="00115BC7">
        <w:t>A social justice approach</w:t>
      </w:r>
      <w:r w:rsidRPr="00115BC7">
        <w:t xml:space="preserve"> </w:t>
      </w:r>
      <w:r w:rsidRPr="00115BC7">
        <w:t>seeks to change the structures</w:t>
      </w:r>
      <w:r w:rsidRPr="00115BC7">
        <w:t xml:space="preserve"> </w:t>
      </w:r>
      <w:r w:rsidRPr="00115BC7">
        <w:t>and practices that create and</w:t>
      </w:r>
      <w:r w:rsidRPr="00115BC7">
        <w:t xml:space="preserve"> </w:t>
      </w:r>
      <w:r w:rsidRPr="00115BC7">
        <w:t>maintain inequalities.</w:t>
      </w:r>
    </w:p>
    <w:p w14:paraId="0A595D58" w14:textId="215EAAE0" w:rsidR="004A5D5C" w:rsidRDefault="004A5D5C" w:rsidP="003F27A3"/>
    <w:p w14:paraId="34E0BEC5" w14:textId="77777777" w:rsidR="004A5D5C" w:rsidRDefault="004A5D5C" w:rsidP="003F27A3"/>
    <w:p w14:paraId="738778C8" w14:textId="77777777" w:rsidR="004A5D5C" w:rsidRDefault="004A5D5C" w:rsidP="003F27A3"/>
    <w:p w14:paraId="1AA92404" w14:textId="77777777" w:rsidR="004A5D5C" w:rsidRDefault="004A5D5C" w:rsidP="003F27A3"/>
    <w:p w14:paraId="7E71ECE0" w14:textId="77777777" w:rsidR="004A5D5C" w:rsidRDefault="004A5D5C" w:rsidP="003F27A3">
      <w:pPr>
        <w:pStyle w:val="Heading2"/>
        <w:sectPr w:rsidR="004A5D5C" w:rsidSect="00B92CA0">
          <w:headerReference w:type="even" r:id="rId9"/>
          <w:headerReference w:type="default" r:id="rId10"/>
          <w:type w:val="continuous"/>
          <w:pgSz w:w="11910" w:h="16840"/>
          <w:pgMar w:top="1440" w:right="1080" w:bottom="1440" w:left="1080" w:header="720" w:footer="720" w:gutter="0"/>
          <w:cols w:space="720"/>
        </w:sectPr>
      </w:pPr>
    </w:p>
    <w:p w14:paraId="2F54A593" w14:textId="2332B6E9" w:rsidR="00017112" w:rsidRPr="00017112" w:rsidRDefault="00017112" w:rsidP="003F27A3">
      <w:pPr>
        <w:pStyle w:val="Heading2"/>
      </w:pPr>
      <w:r w:rsidRPr="00017112">
        <w:lastRenderedPageBreak/>
        <w:t>The Equity Compass: A tool for</w:t>
      </w:r>
      <w:r>
        <w:rPr>
          <w:spacing w:val="-6"/>
        </w:rPr>
        <w:t xml:space="preserve"> </w:t>
      </w:r>
      <w:r>
        <w:t>supporting</w:t>
      </w:r>
      <w:r>
        <w:rPr>
          <w:spacing w:val="-6"/>
        </w:rPr>
        <w:t xml:space="preserve"> </w:t>
      </w:r>
      <w:r>
        <w:t>socially</w:t>
      </w:r>
      <w:r>
        <w:rPr>
          <w:spacing w:val="-6"/>
        </w:rPr>
        <w:t xml:space="preserve"> </w:t>
      </w:r>
      <w:r>
        <w:t>just</w:t>
      </w:r>
      <w:r>
        <w:rPr>
          <w:spacing w:val="-6"/>
        </w:rPr>
        <w:t xml:space="preserve"> </w:t>
      </w:r>
      <w:r>
        <w:t>practice</w:t>
      </w:r>
    </w:p>
    <w:p w14:paraId="6DB77736" w14:textId="77777777" w:rsidR="00115BC7" w:rsidRDefault="00115BC7" w:rsidP="003F27A3">
      <w:pPr>
        <w:pStyle w:val="ListParagraph"/>
        <w:numPr>
          <w:ilvl w:val="0"/>
          <w:numId w:val="6"/>
        </w:numPr>
      </w:pPr>
      <w:r>
        <w:t>The Equity Compass is a tool that can help</w:t>
      </w:r>
      <w:r>
        <w:t xml:space="preserve"> </w:t>
      </w:r>
      <w:r>
        <w:t>funders to reflect on and develop their policy and</w:t>
      </w:r>
      <w:r>
        <w:t xml:space="preserve"> </w:t>
      </w:r>
      <w:r>
        <w:t>practice, adopting a social justice mind set.</w:t>
      </w:r>
      <w:r>
        <w:t xml:space="preserve"> </w:t>
      </w:r>
    </w:p>
    <w:p w14:paraId="6AFA6D76" w14:textId="3287D34D" w:rsidR="00115BC7" w:rsidRDefault="00115BC7" w:rsidP="003F27A3">
      <w:pPr>
        <w:pStyle w:val="ListParagraph"/>
        <w:numPr>
          <w:ilvl w:val="0"/>
          <w:numId w:val="6"/>
        </w:numPr>
      </w:pPr>
      <w:r>
        <w:t>Adopting an equitable approach to funding is not</w:t>
      </w:r>
      <w:r>
        <w:t xml:space="preserve"> </w:t>
      </w:r>
      <w:r>
        <w:t xml:space="preserve">just about </w:t>
      </w:r>
      <w:r w:rsidRPr="00115BC7">
        <w:rPr>
          <w:b/>
          <w:bCs/>
        </w:rPr>
        <w:t>what</w:t>
      </w:r>
      <w:r>
        <w:t xml:space="preserve"> you do, but </w:t>
      </w:r>
      <w:r w:rsidRPr="00115BC7">
        <w:rPr>
          <w:b/>
          <w:bCs/>
        </w:rPr>
        <w:t>how and why</w:t>
      </w:r>
      <w:r>
        <w:t xml:space="preserve"> you do</w:t>
      </w:r>
      <w:r>
        <w:t xml:space="preserve"> </w:t>
      </w:r>
      <w:r>
        <w:t>it. This applies to both strategy and investments.</w:t>
      </w:r>
      <w:r>
        <w:t xml:space="preserve"> </w:t>
      </w:r>
      <w:r>
        <w:t>The stance taken and the principles underlying your work can profoundly shape its potential</w:t>
      </w:r>
      <w:r>
        <w:t xml:space="preserve"> </w:t>
      </w:r>
      <w:r>
        <w:t>for either reinforcing, or transforming, social</w:t>
      </w:r>
      <w:r>
        <w:t xml:space="preserve"> </w:t>
      </w:r>
      <w:r>
        <w:t>inequalities. The Equity Compass can support</w:t>
      </w:r>
      <w:r>
        <w:t xml:space="preserve"> </w:t>
      </w:r>
      <w:r>
        <w:t>funders to consider multiple dimensions of equity,</w:t>
      </w:r>
      <w:r>
        <w:t xml:space="preserve"> </w:t>
      </w:r>
      <w:r>
        <w:t>as represented by the four overarching areas</w:t>
      </w:r>
      <w:r>
        <w:t xml:space="preserve"> </w:t>
      </w:r>
      <w:r>
        <w:t>and the eight sub-dimensions of the Compass.</w:t>
      </w:r>
    </w:p>
    <w:p w14:paraId="0B3C4067" w14:textId="77777777" w:rsidR="0034002C" w:rsidRDefault="003A79B1" w:rsidP="003F27A3">
      <w:r w:rsidRPr="000C2E3A">
        <w:rPr>
          <w:noProof/>
        </w:rPr>
        <w:drawing>
          <wp:inline distT="0" distB="0" distL="0" distR="0" wp14:anchorId="0D1F3400" wp14:editId="7E351D0E">
            <wp:extent cx="5780610" cy="5035138"/>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0610" cy="5035138"/>
                    </a:xfrm>
                    <a:prstGeom prst="rect">
                      <a:avLst/>
                    </a:prstGeom>
                    <a:noFill/>
                    <a:ln>
                      <a:noFill/>
                    </a:ln>
                  </pic:spPr>
                </pic:pic>
              </a:graphicData>
            </a:graphic>
          </wp:inline>
        </w:drawing>
      </w:r>
    </w:p>
    <w:p w14:paraId="40FAD1E3" w14:textId="1FC2092A" w:rsidR="00181EFE" w:rsidRDefault="0034002C" w:rsidP="003F27A3">
      <w:pPr>
        <w:pStyle w:val="Caption"/>
      </w:pPr>
      <w:r>
        <w:t xml:space="preserve">Figure </w:t>
      </w:r>
      <w:r w:rsidR="009D49BE">
        <w:fldChar w:fldCharType="begin"/>
      </w:r>
      <w:r w:rsidR="009D49BE">
        <w:instrText xml:space="preserve"> SEQ Figure \* ARABIC </w:instrText>
      </w:r>
      <w:r w:rsidR="009D49BE">
        <w:fldChar w:fldCharType="separate"/>
      </w:r>
      <w:r w:rsidR="00F24DDE">
        <w:rPr>
          <w:noProof/>
        </w:rPr>
        <w:t>2</w:t>
      </w:r>
      <w:r w:rsidR="009D49BE">
        <w:rPr>
          <w:noProof/>
        </w:rPr>
        <w:fldChar w:fldCharType="end"/>
      </w:r>
      <w:r>
        <w:t>: The Equity Compass</w:t>
      </w:r>
      <w:r w:rsidR="00986547" w:rsidRPr="00986547">
        <w:t xml:space="preserve"> </w:t>
      </w:r>
      <w:r w:rsidR="00986547">
        <w:t>showing eight dimensions of equity, grouped into four overarching areas represented by signs that sit outside the main circle. Detail</w:t>
      </w:r>
      <w:r w:rsidR="005C27AD">
        <w:t>s</w:t>
      </w:r>
      <w:r w:rsidR="00986547">
        <w:t xml:space="preserve"> are presented in </w:t>
      </w:r>
      <w:r w:rsidR="00986547">
        <w:fldChar w:fldCharType="begin"/>
      </w:r>
      <w:r w:rsidR="00986547">
        <w:instrText xml:space="preserve"> REF _Ref109747670 \h </w:instrText>
      </w:r>
      <w:r w:rsidR="00986547">
        <w:fldChar w:fldCharType="separate"/>
      </w:r>
      <w:r w:rsidR="00986547">
        <w:t xml:space="preserve">Table </w:t>
      </w:r>
      <w:r w:rsidR="00986547">
        <w:rPr>
          <w:noProof/>
        </w:rPr>
        <w:t>1</w:t>
      </w:r>
      <w:r w:rsidR="00986547">
        <w:fldChar w:fldCharType="end"/>
      </w:r>
      <w:r w:rsidR="00986547">
        <w:t>.</w:t>
      </w:r>
    </w:p>
    <w:p w14:paraId="6E4B0D46" w14:textId="062A5600" w:rsidR="00115BC7" w:rsidRPr="00115BC7" w:rsidRDefault="00115BC7" w:rsidP="003F27A3">
      <w:r>
        <w:t>The Equity Compass was originally co-developed and iterated in partnership with informal science,</w:t>
      </w:r>
      <w:r>
        <w:t xml:space="preserve"> </w:t>
      </w:r>
      <w:r>
        <w:t xml:space="preserve">technology, </w:t>
      </w:r>
      <w:r w:rsidRPr="003F27A3">
        <w:t>engineering</w:t>
      </w:r>
      <w:r>
        <w:t xml:space="preserve"> and mathematics (STEM) learning settings, such as science </w:t>
      </w:r>
      <w:proofErr w:type="spellStart"/>
      <w:r>
        <w:t>centres</w:t>
      </w:r>
      <w:proofErr w:type="spellEnd"/>
      <w:r>
        <w:t>, zoos and</w:t>
      </w:r>
      <w:r>
        <w:t xml:space="preserve"> </w:t>
      </w:r>
      <w:r>
        <w:t>afterschool clubs. It has since been adapted and applied more widely, by teachers, senior leaders and</w:t>
      </w:r>
      <w:r>
        <w:t xml:space="preserve"> </w:t>
      </w:r>
      <w:r>
        <w:t>funders in and beyond STEM.</w:t>
      </w:r>
    </w:p>
    <w:p w14:paraId="1084DE8E" w14:textId="77777777" w:rsidR="00BE2DC6" w:rsidRDefault="00BE2DC6" w:rsidP="003F27A3"/>
    <w:p w14:paraId="201F0714" w14:textId="7152CCBA" w:rsidR="00BE2DC6" w:rsidRPr="00BE2DC6" w:rsidRDefault="00BE2DC6" w:rsidP="003F27A3">
      <w:pPr>
        <w:sectPr w:rsidR="00BE2DC6" w:rsidRPr="00BE2DC6" w:rsidSect="00B92CA0">
          <w:pgSz w:w="11910" w:h="16840"/>
          <w:pgMar w:top="1440" w:right="1080" w:bottom="1440" w:left="1080" w:header="720" w:footer="720" w:gutter="0"/>
          <w:cols w:space="720"/>
        </w:sectPr>
      </w:pPr>
    </w:p>
    <w:p w14:paraId="4F910DE1" w14:textId="6DBD6304" w:rsidR="00181EFE" w:rsidRPr="004A5D5C" w:rsidRDefault="00710FEC" w:rsidP="003F27A3">
      <w:pPr>
        <w:pStyle w:val="BodyText"/>
        <w:rPr>
          <w:sz w:val="21"/>
        </w:rPr>
        <w:sectPr w:rsidR="00181EFE" w:rsidRPr="004A5D5C" w:rsidSect="00B92CA0">
          <w:type w:val="continuous"/>
          <w:pgSz w:w="11910" w:h="16840"/>
          <w:pgMar w:top="1440" w:right="1080" w:bottom="1440" w:left="1080" w:header="720" w:footer="720" w:gutter="0"/>
          <w:cols w:num="2" w:space="720" w:equalWidth="0">
            <w:col w:w="2069" w:space="2141"/>
            <w:col w:w="5540"/>
          </w:cols>
        </w:sectPr>
      </w:pPr>
      <w:r w:rsidRPr="000C2E3A">
        <w:br w:type="column"/>
      </w:r>
    </w:p>
    <w:p w14:paraId="6518760A" w14:textId="1910C781" w:rsidR="00115BC7" w:rsidRDefault="004A5D5C" w:rsidP="003F27A3">
      <w:pPr>
        <w:pStyle w:val="Heading2"/>
      </w:pPr>
      <w:r w:rsidRPr="00017112">
        <w:lastRenderedPageBreak/>
        <w:t xml:space="preserve">The Equity Compass: </w:t>
      </w:r>
      <w:r w:rsidR="00115BC7">
        <w:t xml:space="preserve">How to use it </w:t>
      </w:r>
    </w:p>
    <w:p w14:paraId="40A65816" w14:textId="7BC4ECF4" w:rsidR="00115BC7" w:rsidRDefault="00115BC7" w:rsidP="003F27A3">
      <w:pPr>
        <w:pStyle w:val="ListParagraph"/>
        <w:numPr>
          <w:ilvl w:val="0"/>
          <w:numId w:val="6"/>
        </w:numPr>
      </w:pPr>
      <w:r>
        <w:t>By attending to the different areas and dimensions,</w:t>
      </w:r>
      <w:r>
        <w:t xml:space="preserve"> </w:t>
      </w:r>
      <w:r>
        <w:t>the Equity Compass can help funders to better</w:t>
      </w:r>
      <w:r>
        <w:t xml:space="preserve"> </w:t>
      </w:r>
      <w:r>
        <w:t>support all stakeholders and beneficiaries,</w:t>
      </w:r>
      <w:r>
        <w:t xml:space="preserve"> </w:t>
      </w:r>
      <w:r>
        <w:t>but particularly those from less powerful and</w:t>
      </w:r>
      <w:r>
        <w:t xml:space="preserve"> </w:t>
      </w:r>
      <w:r>
        <w:t>minoritised</w:t>
      </w:r>
      <w:r>
        <w:rPr>
          <w:rStyle w:val="FootnoteReference"/>
        </w:rPr>
        <w:footnoteReference w:id="1"/>
      </w:r>
      <w:r>
        <w:t xml:space="preserve"> </w:t>
      </w:r>
      <w:r>
        <w:t>communities.</w:t>
      </w:r>
    </w:p>
    <w:p w14:paraId="40982462" w14:textId="77777777" w:rsidR="00115BC7" w:rsidRDefault="00115BC7" w:rsidP="003F27A3">
      <w:pPr>
        <w:pStyle w:val="ListParagraph"/>
        <w:numPr>
          <w:ilvl w:val="0"/>
          <w:numId w:val="6"/>
        </w:numPr>
      </w:pPr>
      <w:r w:rsidRPr="0090798C">
        <w:t xml:space="preserve">The Equity Compass can help you </w:t>
      </w:r>
      <w:r w:rsidRPr="0090798C">
        <w:t xml:space="preserve">recognize </w:t>
      </w:r>
      <w:r w:rsidRPr="0090798C">
        <w:t>and think about key dimensions of equity/social</w:t>
      </w:r>
      <w:r w:rsidRPr="0090798C">
        <w:t xml:space="preserve"> </w:t>
      </w:r>
      <w:r w:rsidRPr="0090798C">
        <w:t>justice – and consider how equitable your</w:t>
      </w:r>
      <w:r w:rsidRPr="0090798C">
        <w:t xml:space="preserve"> </w:t>
      </w:r>
      <w:r w:rsidRPr="0090798C">
        <w:t>strategy and investments are.</w:t>
      </w:r>
      <w:r>
        <w:t xml:space="preserve"> Each axis of the</w:t>
      </w:r>
      <w:r>
        <w:t xml:space="preserve"> </w:t>
      </w:r>
      <w:r>
        <w:t>Equity Compass has a set of associated Guiding</w:t>
      </w:r>
      <w:r>
        <w:t xml:space="preserve"> </w:t>
      </w:r>
      <w:r>
        <w:t>Questions to help you to reflect on your policy and</w:t>
      </w:r>
      <w:r>
        <w:t xml:space="preserve"> </w:t>
      </w:r>
      <w:r>
        <w:t>practice from an equity perspective. For example,</w:t>
      </w:r>
      <w:r>
        <w:t xml:space="preserve"> </w:t>
      </w:r>
      <w:r>
        <w:t>where would your current approach sit on each</w:t>
      </w:r>
      <w:r>
        <w:t xml:space="preserve"> </w:t>
      </w:r>
      <w:r>
        <w:t>axis? Being positioned closer to the outer edges</w:t>
      </w:r>
      <w:r>
        <w:t xml:space="preserve"> </w:t>
      </w:r>
      <w:r>
        <w:t>indicates stronger equitable practice.</w:t>
      </w:r>
    </w:p>
    <w:p w14:paraId="4313F144" w14:textId="77777777" w:rsidR="00115BC7" w:rsidRDefault="00115BC7" w:rsidP="003F27A3">
      <w:pPr>
        <w:pStyle w:val="ListParagraph"/>
        <w:numPr>
          <w:ilvl w:val="0"/>
          <w:numId w:val="6"/>
        </w:numPr>
      </w:pPr>
      <w:r w:rsidRPr="0090798C">
        <w:rPr>
          <w:b/>
          <w:bCs/>
        </w:rPr>
        <w:t>The Equity Compass can be used to identify</w:t>
      </w:r>
      <w:r w:rsidRPr="0090798C">
        <w:rPr>
          <w:b/>
          <w:bCs/>
        </w:rPr>
        <w:t xml:space="preserve"> </w:t>
      </w:r>
      <w:r w:rsidRPr="0090798C">
        <w:rPr>
          <w:b/>
          <w:bCs/>
        </w:rPr>
        <w:t>areas that you might like to develop further.</w:t>
      </w:r>
      <w:r w:rsidRPr="0090798C">
        <w:rPr>
          <w:b/>
          <w:bCs/>
        </w:rPr>
        <w:t xml:space="preserve"> </w:t>
      </w:r>
      <w:r>
        <w:t xml:space="preserve">For example, you might want to </w:t>
      </w:r>
      <w:proofErr w:type="spellStart"/>
      <w:r>
        <w:t>prioritise</w:t>
      </w:r>
      <w:proofErr w:type="spellEnd"/>
      <w:r>
        <w:t xml:space="preserve"> an</w:t>
      </w:r>
      <w:r>
        <w:t xml:space="preserve"> </w:t>
      </w:r>
      <w:r>
        <w:t>area where your mapping sits closer to the</w:t>
      </w:r>
      <w:r>
        <w:t xml:space="preserve"> </w:t>
      </w:r>
      <w:proofErr w:type="spellStart"/>
      <w:r>
        <w:t>centre</w:t>
      </w:r>
      <w:proofErr w:type="spellEnd"/>
      <w:r>
        <w:t xml:space="preserve"> of the Equity Compass. The Guiding Questions can help prompt the ideas about</w:t>
      </w:r>
      <w:r>
        <w:t xml:space="preserve"> </w:t>
      </w:r>
      <w:r>
        <w:t>how future activities could be planned in</w:t>
      </w:r>
      <w:r>
        <w:t xml:space="preserve"> </w:t>
      </w:r>
      <w:r>
        <w:t>line with the eight dimensions of equity.</w:t>
      </w:r>
      <w:r>
        <w:t xml:space="preserve"> </w:t>
      </w:r>
    </w:p>
    <w:p w14:paraId="2C28EFB5" w14:textId="3304DCE3" w:rsidR="00115BC7" w:rsidRDefault="00115BC7" w:rsidP="003F27A3">
      <w:pPr>
        <w:pStyle w:val="ListParagraph"/>
        <w:numPr>
          <w:ilvl w:val="0"/>
          <w:numId w:val="6"/>
        </w:numPr>
      </w:pPr>
      <w:r w:rsidRPr="0090798C">
        <w:rPr>
          <w:b/>
          <w:bCs/>
        </w:rPr>
        <w:t>Start small.</w:t>
      </w:r>
      <w:r>
        <w:t xml:space="preserve"> You might be facing constraints</w:t>
      </w:r>
      <w:r>
        <w:t xml:space="preserve"> </w:t>
      </w:r>
      <w:r>
        <w:t>that make it difficult to address all the equity</w:t>
      </w:r>
      <w:r>
        <w:t xml:space="preserve"> </w:t>
      </w:r>
      <w:r>
        <w:t>dimensions at once. Identify the areas that</w:t>
      </w:r>
      <w:r>
        <w:t xml:space="preserve"> </w:t>
      </w:r>
      <w:r>
        <w:t>you can act on now, while keeping in mind</w:t>
      </w:r>
      <w:r>
        <w:t xml:space="preserve"> </w:t>
      </w:r>
      <w:r>
        <w:t>the plans for longer term development.</w:t>
      </w:r>
      <w:r>
        <w:t xml:space="preserve"> </w:t>
      </w:r>
      <w:r>
        <w:t>Small changes can make a difference –</w:t>
      </w:r>
      <w:r>
        <w:t xml:space="preserve"> </w:t>
      </w:r>
      <w:r>
        <w:t>equitable practice is an ongoing journey.</w:t>
      </w:r>
      <w:r>
        <w:t xml:space="preserve"> </w:t>
      </w:r>
    </w:p>
    <w:p w14:paraId="71C3108A" w14:textId="4D1A09F6" w:rsidR="0090798C" w:rsidRPr="0090798C" w:rsidRDefault="00115BC7" w:rsidP="003F27A3">
      <w:pPr>
        <w:pStyle w:val="ListParagraph"/>
        <w:numPr>
          <w:ilvl w:val="0"/>
          <w:numId w:val="6"/>
        </w:numPr>
      </w:pPr>
      <w:r w:rsidRPr="0090798C">
        <w:t>You could also use the Equity Compass</w:t>
      </w:r>
      <w:r w:rsidRPr="0090798C">
        <w:t xml:space="preserve"> </w:t>
      </w:r>
      <w:r w:rsidRPr="0090798C">
        <w:t>to evidence your progress towards more</w:t>
      </w:r>
      <w:r w:rsidRPr="0090798C">
        <w:t xml:space="preserve"> </w:t>
      </w:r>
      <w:r w:rsidRPr="0090798C">
        <w:t>equitable practice by charting outwards</w:t>
      </w:r>
      <w:r w:rsidRPr="0090798C">
        <w:t xml:space="preserve"> </w:t>
      </w:r>
      <w:r w:rsidRPr="0090798C">
        <w:t>movement on the axes.</w:t>
      </w:r>
      <w:r>
        <w:t xml:space="preserve"> You could draw or</w:t>
      </w:r>
      <w:r>
        <w:t xml:space="preserve"> </w:t>
      </w:r>
      <w:r>
        <w:t>map your current practice on to the Equity</w:t>
      </w:r>
      <w:r>
        <w:t xml:space="preserve"> </w:t>
      </w:r>
      <w:r>
        <w:t>Compass and then repeat the exercise at a later</w:t>
      </w:r>
      <w:r>
        <w:t xml:space="preserve"> </w:t>
      </w:r>
      <w:r>
        <w:t>point to map change. You might find it helpful</w:t>
      </w:r>
      <w:r>
        <w:t xml:space="preserve"> </w:t>
      </w:r>
      <w:r>
        <w:t>to use the worksheet provided at the end of this</w:t>
      </w:r>
      <w:r>
        <w:t xml:space="preserve"> </w:t>
      </w:r>
      <w:r>
        <w:t>insight to record your reflections and plans.</w:t>
      </w:r>
      <w:r w:rsidR="0090798C">
        <w:br w:type="page"/>
      </w:r>
    </w:p>
    <w:p w14:paraId="52B158D9" w14:textId="275E8FE5" w:rsidR="00181EFE" w:rsidRPr="004A5D5C" w:rsidRDefault="00115BC7" w:rsidP="003F27A3">
      <w:pPr>
        <w:pStyle w:val="Heading2"/>
        <w:rPr>
          <w:color w:val="auto"/>
        </w:rPr>
      </w:pPr>
      <w:r w:rsidRPr="00017112">
        <w:lastRenderedPageBreak/>
        <w:t xml:space="preserve">The Equity Compass: </w:t>
      </w:r>
      <w:r w:rsidR="004A5D5C" w:rsidRPr="00017112">
        <w:t>A tool for</w:t>
      </w:r>
      <w:r w:rsidR="004A5D5C">
        <w:rPr>
          <w:spacing w:val="-6"/>
        </w:rPr>
        <w:t xml:space="preserve"> </w:t>
      </w:r>
      <w:r w:rsidR="004A5D5C">
        <w:t>supporting</w:t>
      </w:r>
      <w:r w:rsidR="004A5D5C">
        <w:rPr>
          <w:spacing w:val="-6"/>
        </w:rPr>
        <w:t xml:space="preserve"> </w:t>
      </w:r>
      <w:r w:rsidR="004A5D5C">
        <w:t>socially</w:t>
      </w:r>
      <w:r w:rsidR="004A5D5C">
        <w:rPr>
          <w:spacing w:val="-6"/>
        </w:rPr>
        <w:t xml:space="preserve"> </w:t>
      </w:r>
      <w:r w:rsidR="004A5D5C">
        <w:t>just</w:t>
      </w:r>
      <w:r w:rsidR="004A5D5C">
        <w:rPr>
          <w:spacing w:val="-6"/>
        </w:rPr>
        <w:t xml:space="preserve"> </w:t>
      </w:r>
      <w:r w:rsidR="004A5D5C">
        <w:t>practice</w:t>
      </w:r>
    </w:p>
    <w:p w14:paraId="342B4159" w14:textId="6904DD9C" w:rsidR="0034002C" w:rsidRDefault="0034002C" w:rsidP="003F27A3">
      <w:pPr>
        <w:pStyle w:val="Caption"/>
      </w:pPr>
      <w:bookmarkStart w:id="0" w:name="_Ref109747670"/>
      <w:r>
        <w:t xml:space="preserve">Table </w:t>
      </w:r>
      <w:r w:rsidR="009D49BE">
        <w:fldChar w:fldCharType="begin"/>
      </w:r>
      <w:r w:rsidR="009D49BE">
        <w:instrText xml:space="preserve"> SEQ Table \* ARABIC </w:instrText>
      </w:r>
      <w:r w:rsidR="009D49BE">
        <w:fldChar w:fldCharType="separate"/>
      </w:r>
      <w:r w:rsidR="003F27A3">
        <w:rPr>
          <w:noProof/>
        </w:rPr>
        <w:t>1</w:t>
      </w:r>
      <w:r w:rsidR="009D49BE">
        <w:rPr>
          <w:noProof/>
        </w:rPr>
        <w:fldChar w:fldCharType="end"/>
      </w:r>
      <w:bookmarkEnd w:id="0"/>
      <w:r>
        <w:t xml:space="preserve">: Equity Compass </w:t>
      </w:r>
      <w:r w:rsidR="00F24DDE">
        <w:t xml:space="preserve">sections and </w:t>
      </w:r>
      <w:r>
        <w:t>guiding questions</w:t>
      </w:r>
    </w:p>
    <w:tbl>
      <w:tblPr>
        <w:tblW w:w="9427" w:type="dxa"/>
        <w:tblInd w:w="207" w:type="dxa"/>
        <w:tblLayout w:type="fixed"/>
        <w:tblCellMar>
          <w:top w:w="28" w:type="dxa"/>
          <w:left w:w="28" w:type="dxa"/>
          <w:right w:w="0" w:type="dxa"/>
        </w:tblCellMar>
        <w:tblLook w:val="01E0" w:firstRow="1" w:lastRow="1" w:firstColumn="1" w:lastColumn="1" w:noHBand="0" w:noVBand="0"/>
      </w:tblPr>
      <w:tblGrid>
        <w:gridCol w:w="1584"/>
        <w:gridCol w:w="1758"/>
        <w:gridCol w:w="1833"/>
        <w:gridCol w:w="4252"/>
      </w:tblGrid>
      <w:tr w:rsidR="00314D31" w:rsidRPr="004A5D5C" w14:paraId="1110787E" w14:textId="77777777" w:rsidTr="003D2AAA">
        <w:trPr>
          <w:trHeight w:val="616"/>
          <w:tblHeader/>
        </w:trPr>
        <w:tc>
          <w:tcPr>
            <w:tcW w:w="1584" w:type="dxa"/>
            <w:tcBorders>
              <w:top w:val="single" w:sz="4" w:space="0" w:color="auto"/>
              <w:left w:val="single" w:sz="4" w:space="0" w:color="auto"/>
              <w:bottom w:val="single" w:sz="4" w:space="0" w:color="auto"/>
              <w:right w:val="single" w:sz="4" w:space="0" w:color="auto"/>
            </w:tcBorders>
            <w:shd w:val="clear" w:color="auto" w:fill="000000"/>
          </w:tcPr>
          <w:p w14:paraId="560BAD5C" w14:textId="77986248" w:rsidR="00314D31" w:rsidRPr="004A5D5C" w:rsidRDefault="003D2AAA" w:rsidP="003F27A3">
            <w:pPr>
              <w:rPr>
                <w:w w:val="120"/>
              </w:rPr>
            </w:pPr>
            <w:r w:rsidRPr="003D2AAA">
              <w:t>Area</w:t>
            </w:r>
          </w:p>
        </w:tc>
        <w:tc>
          <w:tcPr>
            <w:tcW w:w="1758" w:type="dxa"/>
            <w:tcBorders>
              <w:top w:val="single" w:sz="4" w:space="0" w:color="auto"/>
              <w:left w:val="single" w:sz="4" w:space="0" w:color="auto"/>
              <w:bottom w:val="single" w:sz="4" w:space="0" w:color="auto"/>
              <w:right w:val="single" w:sz="4" w:space="0" w:color="auto"/>
            </w:tcBorders>
            <w:shd w:val="clear" w:color="auto" w:fill="000000"/>
          </w:tcPr>
          <w:p w14:paraId="19068F72" w14:textId="60FB1BAC" w:rsidR="00314D31" w:rsidRPr="004A5D5C" w:rsidRDefault="003D2AAA" w:rsidP="003F27A3">
            <w:r w:rsidRPr="003D2AAA">
              <w:t>Equity dimension – outer layer of the Equity Compass (strong practice)</w:t>
            </w:r>
          </w:p>
        </w:tc>
        <w:tc>
          <w:tcPr>
            <w:tcW w:w="1833" w:type="dxa"/>
            <w:tcBorders>
              <w:left w:val="single" w:sz="4" w:space="0" w:color="auto"/>
              <w:bottom w:val="single" w:sz="4" w:space="0" w:color="auto"/>
              <w:right w:val="single" w:sz="4" w:space="0" w:color="auto"/>
            </w:tcBorders>
            <w:shd w:val="clear" w:color="auto" w:fill="000000"/>
          </w:tcPr>
          <w:p w14:paraId="75A0A614" w14:textId="060F75B8" w:rsidR="00314D31" w:rsidRPr="004A5D5C" w:rsidRDefault="003D2AAA" w:rsidP="003F27A3">
            <w:pPr>
              <w:rPr>
                <w:w w:val="130"/>
              </w:rPr>
            </w:pPr>
            <w:r w:rsidRPr="003D2AAA">
              <w:t>Inner layer of the Equity Compass (weak practice)</w:t>
            </w:r>
          </w:p>
        </w:tc>
        <w:tc>
          <w:tcPr>
            <w:tcW w:w="4252" w:type="dxa"/>
            <w:tcBorders>
              <w:left w:val="single" w:sz="4" w:space="0" w:color="auto"/>
              <w:bottom w:val="single" w:sz="4" w:space="0" w:color="auto"/>
            </w:tcBorders>
            <w:shd w:val="clear" w:color="auto" w:fill="000000"/>
          </w:tcPr>
          <w:p w14:paraId="2BB9C6E8" w14:textId="797F0AAD" w:rsidR="00314D31" w:rsidRPr="004A5D5C" w:rsidRDefault="003D2AAA" w:rsidP="003F27A3">
            <w:r w:rsidRPr="003D2AAA">
              <w:t>Guiding questions</w:t>
            </w:r>
            <w:r w:rsidR="0090798C">
              <w:t xml:space="preserve"> for funders</w:t>
            </w:r>
          </w:p>
        </w:tc>
      </w:tr>
      <w:tr w:rsidR="00314D31" w:rsidRPr="000C2E3A" w14:paraId="53FDF837" w14:textId="77777777" w:rsidTr="003D2AAA">
        <w:trPr>
          <w:trHeight w:val="1569"/>
        </w:trPr>
        <w:tc>
          <w:tcPr>
            <w:tcW w:w="1584" w:type="dxa"/>
            <w:tcBorders>
              <w:top w:val="single" w:sz="4" w:space="0" w:color="auto"/>
              <w:left w:val="single" w:sz="4" w:space="0" w:color="auto"/>
              <w:bottom w:val="single" w:sz="4" w:space="0" w:color="auto"/>
              <w:right w:val="single" w:sz="4" w:space="0" w:color="auto"/>
            </w:tcBorders>
            <w:shd w:val="clear" w:color="auto" w:fill="FEEAAC"/>
          </w:tcPr>
          <w:p w14:paraId="4C3504BA" w14:textId="77777777" w:rsidR="00416242" w:rsidRDefault="00416242" w:rsidP="003F27A3">
            <w:pPr>
              <w:pStyle w:val="TableParagraph"/>
            </w:pPr>
            <w:r>
              <w:t>Challenging the status quo</w:t>
            </w:r>
          </w:p>
          <w:p w14:paraId="3D5614DC" w14:textId="77777777" w:rsidR="00314D31" w:rsidRPr="004656BE" w:rsidRDefault="00314D31" w:rsidP="003F27A3">
            <w:pPr>
              <w:rPr>
                <w:w w:val="115"/>
              </w:rPr>
            </w:pPr>
          </w:p>
        </w:tc>
        <w:tc>
          <w:tcPr>
            <w:tcW w:w="1758" w:type="dxa"/>
            <w:tcBorders>
              <w:top w:val="single" w:sz="4" w:space="0" w:color="auto"/>
              <w:left w:val="single" w:sz="4" w:space="0" w:color="auto"/>
              <w:bottom w:val="single" w:sz="4" w:space="0" w:color="auto"/>
              <w:right w:val="single" w:sz="4" w:space="0" w:color="auto"/>
            </w:tcBorders>
            <w:shd w:val="clear" w:color="auto" w:fill="FEEAAC"/>
          </w:tcPr>
          <w:p w14:paraId="2A6B1B15" w14:textId="7DC1EB62" w:rsidR="00314D31" w:rsidRPr="004656BE" w:rsidRDefault="00416242" w:rsidP="003F27A3">
            <w:r>
              <w:t>Transforming power relations</w:t>
            </w:r>
          </w:p>
        </w:tc>
        <w:tc>
          <w:tcPr>
            <w:tcW w:w="1833" w:type="dxa"/>
            <w:tcBorders>
              <w:top w:val="single" w:sz="4" w:space="0" w:color="auto"/>
              <w:left w:val="single" w:sz="4" w:space="0" w:color="auto"/>
              <w:bottom w:val="single" w:sz="4" w:space="0" w:color="auto"/>
              <w:right w:val="single" w:sz="4" w:space="0" w:color="auto"/>
            </w:tcBorders>
            <w:shd w:val="clear" w:color="auto" w:fill="FFF9E8"/>
          </w:tcPr>
          <w:p w14:paraId="4CCF0E9D" w14:textId="776366B6" w:rsidR="004656BE" w:rsidRDefault="004656BE" w:rsidP="003F27A3">
            <w:pPr>
              <w:pStyle w:val="TableParagraph"/>
            </w:pPr>
            <w:r w:rsidRPr="004656BE">
              <w:t>Reproducing power</w:t>
            </w:r>
          </w:p>
          <w:p w14:paraId="1C9047C3" w14:textId="5491F631" w:rsidR="00314D31" w:rsidRPr="004656BE" w:rsidRDefault="00314D31" w:rsidP="003F27A3">
            <w:pPr>
              <w:pStyle w:val="TableParagraph"/>
            </w:pPr>
          </w:p>
        </w:tc>
        <w:tc>
          <w:tcPr>
            <w:tcW w:w="4252" w:type="dxa"/>
            <w:tcBorders>
              <w:top w:val="single" w:sz="4" w:space="0" w:color="auto"/>
              <w:left w:val="single" w:sz="4" w:space="0" w:color="auto"/>
              <w:bottom w:val="single" w:sz="4" w:space="0" w:color="auto"/>
              <w:right w:val="single" w:sz="4" w:space="0" w:color="auto"/>
            </w:tcBorders>
            <w:shd w:val="clear" w:color="auto" w:fill="FFF9E8"/>
          </w:tcPr>
          <w:p w14:paraId="435D3FFC" w14:textId="77777777" w:rsidR="0090798C" w:rsidRDefault="0090798C" w:rsidP="003F27A3">
            <w:pPr>
              <w:pStyle w:val="TableParagraph"/>
            </w:pPr>
            <w:r>
              <w:t>Who has power in strategy and decision-making? To what</w:t>
            </w:r>
            <w:r>
              <w:t xml:space="preserve"> </w:t>
            </w:r>
            <w:r>
              <w:t>extent are minoritised communities involved in making</w:t>
            </w:r>
            <w:r>
              <w:t xml:space="preserve"> </w:t>
            </w:r>
            <w:r>
              <w:t>decisions about priorities and/or who/what gets funded?</w:t>
            </w:r>
          </w:p>
          <w:p w14:paraId="17C7CDE1" w14:textId="5E1515A1" w:rsidR="0090798C" w:rsidRDefault="0090798C" w:rsidP="003F27A3">
            <w:pPr>
              <w:pStyle w:val="TableParagraph"/>
            </w:pPr>
            <w:r>
              <w:t>To what extent does your strategy, ways of working and</w:t>
            </w:r>
            <w:r>
              <w:t xml:space="preserve"> </w:t>
            </w:r>
            <w:r>
              <w:t xml:space="preserve">portfolio of investments actively </w:t>
            </w:r>
            <w:proofErr w:type="spellStart"/>
            <w:r>
              <w:t>recognise</w:t>
            </w:r>
            <w:proofErr w:type="spellEnd"/>
            <w:r>
              <w:t xml:space="preserve"> and challenge social</w:t>
            </w:r>
            <w:r>
              <w:t xml:space="preserve"> </w:t>
            </w:r>
            <w:r>
              <w:t>injustices?</w:t>
            </w:r>
          </w:p>
          <w:p w14:paraId="69FAC254" w14:textId="47C581C3" w:rsidR="00314D31" w:rsidRPr="004656BE" w:rsidRDefault="0090798C" w:rsidP="003F27A3">
            <w:pPr>
              <w:pStyle w:val="TableParagraph"/>
            </w:pPr>
            <w:r>
              <w:t>How are issues of privilege approached? To what extent are</w:t>
            </w:r>
            <w:r>
              <w:t xml:space="preserve"> </w:t>
            </w:r>
            <w:r>
              <w:t xml:space="preserve">colleagues and those who are funded by your </w:t>
            </w:r>
            <w:proofErr w:type="spellStart"/>
            <w:r>
              <w:t>organisation</w:t>
            </w:r>
            <w:proofErr w:type="spellEnd"/>
            <w:r>
              <w:t xml:space="preserve"> </w:t>
            </w:r>
            <w:r>
              <w:t xml:space="preserve">supported to </w:t>
            </w:r>
            <w:proofErr w:type="spellStart"/>
            <w:r>
              <w:t>recognise</w:t>
            </w:r>
            <w:proofErr w:type="spellEnd"/>
            <w:r>
              <w:t>, understand and challenge issues</w:t>
            </w:r>
            <w:r>
              <w:t xml:space="preserve"> </w:t>
            </w:r>
            <w:r>
              <w:t>of privilege?</w:t>
            </w:r>
          </w:p>
        </w:tc>
      </w:tr>
      <w:tr w:rsidR="00314D31" w:rsidRPr="000C2E3A" w14:paraId="2706E342" w14:textId="77777777" w:rsidTr="0090798C">
        <w:trPr>
          <w:trHeight w:val="1341"/>
        </w:trPr>
        <w:tc>
          <w:tcPr>
            <w:tcW w:w="1584" w:type="dxa"/>
            <w:tcBorders>
              <w:top w:val="single" w:sz="4" w:space="0" w:color="auto"/>
              <w:left w:val="single" w:sz="4" w:space="0" w:color="auto"/>
              <w:bottom w:val="single" w:sz="4" w:space="0" w:color="auto"/>
              <w:right w:val="single" w:sz="4" w:space="0" w:color="auto"/>
            </w:tcBorders>
            <w:shd w:val="clear" w:color="auto" w:fill="FEEAAC"/>
          </w:tcPr>
          <w:p w14:paraId="05A58ABF" w14:textId="77777777" w:rsidR="00416242" w:rsidRDefault="00416242" w:rsidP="003F27A3">
            <w:pPr>
              <w:pStyle w:val="TableParagraph"/>
            </w:pPr>
            <w:r>
              <w:t xml:space="preserve">Challenging the status quo </w:t>
            </w:r>
          </w:p>
          <w:p w14:paraId="51283ECE" w14:textId="2D462259" w:rsidR="00314D31" w:rsidRPr="004656BE" w:rsidRDefault="00314D31" w:rsidP="003F27A3">
            <w:pPr>
              <w:rPr>
                <w:w w:val="130"/>
              </w:rPr>
            </w:pPr>
          </w:p>
        </w:tc>
        <w:tc>
          <w:tcPr>
            <w:tcW w:w="1758" w:type="dxa"/>
            <w:tcBorders>
              <w:top w:val="single" w:sz="4" w:space="0" w:color="auto"/>
              <w:left w:val="single" w:sz="4" w:space="0" w:color="auto"/>
              <w:bottom w:val="single" w:sz="4" w:space="0" w:color="auto"/>
              <w:right w:val="single" w:sz="4" w:space="0" w:color="auto"/>
            </w:tcBorders>
            <w:shd w:val="clear" w:color="auto" w:fill="FEEAAC"/>
          </w:tcPr>
          <w:p w14:paraId="0FFE4319" w14:textId="7598367A" w:rsidR="00314D31" w:rsidRPr="004656BE" w:rsidRDefault="00416242" w:rsidP="003F27A3">
            <w:pPr>
              <w:rPr>
                <w:w w:val="115"/>
              </w:rPr>
            </w:pPr>
            <w:proofErr w:type="spellStart"/>
            <w:r>
              <w:t>Prioritising</w:t>
            </w:r>
            <w:proofErr w:type="spellEnd"/>
            <w:r>
              <w:t xml:space="preserve"> minoritised communities</w:t>
            </w:r>
          </w:p>
        </w:tc>
        <w:tc>
          <w:tcPr>
            <w:tcW w:w="1833" w:type="dxa"/>
            <w:tcBorders>
              <w:top w:val="single" w:sz="4" w:space="0" w:color="auto"/>
              <w:left w:val="single" w:sz="4" w:space="0" w:color="auto"/>
              <w:bottom w:val="single" w:sz="4" w:space="0" w:color="auto"/>
              <w:right w:val="single" w:sz="4" w:space="0" w:color="auto"/>
            </w:tcBorders>
            <w:shd w:val="clear" w:color="auto" w:fill="FFF9E8"/>
          </w:tcPr>
          <w:p w14:paraId="05FE1F74" w14:textId="28377042" w:rsidR="004656BE" w:rsidRDefault="004656BE" w:rsidP="003F27A3">
            <w:pPr>
              <w:pStyle w:val="TableParagraph"/>
            </w:pPr>
            <w:proofErr w:type="spellStart"/>
            <w:r w:rsidRPr="004656BE">
              <w:t>Prioritising</w:t>
            </w:r>
            <w:proofErr w:type="spellEnd"/>
            <w:r w:rsidRPr="004656BE">
              <w:t xml:space="preserve"> the dominant</w:t>
            </w:r>
          </w:p>
          <w:p w14:paraId="71DA4A12" w14:textId="38B0A304" w:rsidR="00416242" w:rsidRDefault="00416242" w:rsidP="003F27A3">
            <w:pPr>
              <w:pStyle w:val="TableParagraph"/>
            </w:pPr>
            <w:r>
              <w:tab/>
            </w:r>
          </w:p>
          <w:p w14:paraId="21B75A6E" w14:textId="77777777" w:rsidR="00314D31" w:rsidRPr="004656BE" w:rsidRDefault="00314D31" w:rsidP="003F27A3">
            <w:pPr>
              <w:pStyle w:val="TableParagraph"/>
            </w:pPr>
          </w:p>
        </w:tc>
        <w:tc>
          <w:tcPr>
            <w:tcW w:w="4252" w:type="dxa"/>
            <w:tcBorders>
              <w:top w:val="single" w:sz="4" w:space="0" w:color="auto"/>
              <w:left w:val="single" w:sz="4" w:space="0" w:color="auto"/>
              <w:bottom w:val="single" w:sz="4" w:space="0" w:color="auto"/>
              <w:right w:val="single" w:sz="4" w:space="0" w:color="auto"/>
            </w:tcBorders>
            <w:shd w:val="clear" w:color="auto" w:fill="FFF9E8"/>
          </w:tcPr>
          <w:p w14:paraId="2860DCE4" w14:textId="53067EB1" w:rsidR="00314D31" w:rsidRPr="004656BE" w:rsidRDefault="0090798C" w:rsidP="003F27A3">
            <w:pPr>
              <w:pStyle w:val="TableParagraph"/>
            </w:pPr>
            <w:r>
              <w:t>Whose agenda is driving who and what gets funded? To what</w:t>
            </w:r>
            <w:r>
              <w:t xml:space="preserve"> </w:t>
            </w:r>
            <w:r>
              <w:t>extent is your work driven by the priorities and needs of</w:t>
            </w:r>
            <w:r>
              <w:t xml:space="preserve"> </w:t>
            </w:r>
            <w:r>
              <w:t>dominant players (e.g., the economy) or those of minoritised</w:t>
            </w:r>
            <w:r>
              <w:t xml:space="preserve"> </w:t>
            </w:r>
            <w:r>
              <w:t>communities?</w:t>
            </w:r>
          </w:p>
        </w:tc>
      </w:tr>
      <w:tr w:rsidR="00314D31" w:rsidRPr="000C2E3A" w14:paraId="773F8F0F" w14:textId="77777777" w:rsidTr="003D2AAA">
        <w:trPr>
          <w:trHeight w:val="1844"/>
        </w:trPr>
        <w:tc>
          <w:tcPr>
            <w:tcW w:w="1584" w:type="dxa"/>
            <w:tcBorders>
              <w:top w:val="single" w:sz="4" w:space="0" w:color="auto"/>
              <w:left w:val="single" w:sz="4" w:space="0" w:color="auto"/>
              <w:bottom w:val="single" w:sz="4" w:space="0" w:color="auto"/>
              <w:right w:val="single" w:sz="4" w:space="0" w:color="auto"/>
            </w:tcBorders>
            <w:shd w:val="clear" w:color="auto" w:fill="FEEAAC"/>
          </w:tcPr>
          <w:p w14:paraId="4E4918F1" w14:textId="5CBA8973" w:rsidR="00314D31" w:rsidRPr="004656BE" w:rsidRDefault="00416242" w:rsidP="003F27A3">
            <w:pPr>
              <w:rPr>
                <w:w w:val="125"/>
              </w:rPr>
            </w:pPr>
            <w:r w:rsidRPr="00416242">
              <w:t>Challenging the status quo</w:t>
            </w:r>
          </w:p>
        </w:tc>
        <w:tc>
          <w:tcPr>
            <w:tcW w:w="1758" w:type="dxa"/>
            <w:tcBorders>
              <w:top w:val="single" w:sz="4" w:space="0" w:color="auto"/>
              <w:left w:val="single" w:sz="4" w:space="0" w:color="auto"/>
              <w:bottom w:val="single" w:sz="4" w:space="0" w:color="auto"/>
              <w:right w:val="single" w:sz="4" w:space="0" w:color="auto"/>
            </w:tcBorders>
            <w:shd w:val="clear" w:color="auto" w:fill="FEEAAC"/>
          </w:tcPr>
          <w:p w14:paraId="654EB7B4" w14:textId="39A9539A" w:rsidR="00314D31" w:rsidRPr="004656BE" w:rsidRDefault="00416242" w:rsidP="003F27A3">
            <w:r w:rsidRPr="00416242">
              <w:t>Redistributing resources</w:t>
            </w:r>
          </w:p>
        </w:tc>
        <w:tc>
          <w:tcPr>
            <w:tcW w:w="1833" w:type="dxa"/>
            <w:tcBorders>
              <w:top w:val="single" w:sz="4" w:space="0" w:color="auto"/>
              <w:left w:val="single" w:sz="4" w:space="0" w:color="auto"/>
              <w:bottom w:val="single" w:sz="4" w:space="0" w:color="auto"/>
              <w:right w:val="single" w:sz="4" w:space="0" w:color="auto"/>
            </w:tcBorders>
            <w:shd w:val="clear" w:color="auto" w:fill="FFF9E8"/>
          </w:tcPr>
          <w:p w14:paraId="7B0A1D8F" w14:textId="77777777" w:rsidR="00314D31" w:rsidRDefault="004656BE" w:rsidP="003F27A3">
            <w:pPr>
              <w:pStyle w:val="TableParagraph"/>
            </w:pPr>
            <w:r w:rsidRPr="004656BE">
              <w:t>Reinforcing privilege</w:t>
            </w:r>
          </w:p>
          <w:p w14:paraId="48F77CD8" w14:textId="77777777" w:rsidR="00416242" w:rsidRDefault="00416242" w:rsidP="003F27A3">
            <w:pPr>
              <w:pStyle w:val="TableParagraph"/>
            </w:pPr>
          </w:p>
          <w:p w14:paraId="48721C54" w14:textId="2FF8FB76" w:rsidR="00416242" w:rsidRPr="004656BE" w:rsidRDefault="00416242" w:rsidP="003F27A3">
            <w:pPr>
              <w:pStyle w:val="TableParagraph"/>
            </w:pPr>
          </w:p>
        </w:tc>
        <w:tc>
          <w:tcPr>
            <w:tcW w:w="4252" w:type="dxa"/>
            <w:tcBorders>
              <w:top w:val="single" w:sz="4" w:space="0" w:color="auto"/>
              <w:left w:val="single" w:sz="4" w:space="0" w:color="auto"/>
              <w:bottom w:val="single" w:sz="4" w:space="0" w:color="auto"/>
              <w:right w:val="single" w:sz="4" w:space="0" w:color="auto"/>
            </w:tcBorders>
            <w:shd w:val="clear" w:color="auto" w:fill="FFF9E8"/>
          </w:tcPr>
          <w:p w14:paraId="151D8B99" w14:textId="79F9FE57" w:rsidR="0090798C" w:rsidRDefault="0090798C" w:rsidP="003F27A3">
            <w:pPr>
              <w:pStyle w:val="TableParagraph"/>
            </w:pPr>
            <w:r>
              <w:t>What measures are in place to ensure that resources and</w:t>
            </w:r>
            <w:r>
              <w:t xml:space="preserve"> </w:t>
            </w:r>
            <w:r>
              <w:t>support are focused on minoritised communities rather than</w:t>
            </w:r>
            <w:r>
              <w:t xml:space="preserve"> </w:t>
            </w:r>
            <w:r>
              <w:t>more privileged groups?</w:t>
            </w:r>
          </w:p>
          <w:p w14:paraId="183D0041" w14:textId="26AE909A" w:rsidR="00314D31" w:rsidRPr="004656BE" w:rsidRDefault="0090798C" w:rsidP="003F27A3">
            <w:pPr>
              <w:pStyle w:val="TableParagraph"/>
            </w:pPr>
            <w:r>
              <w:t>How do you know that minoritised communities are being</w:t>
            </w:r>
            <w:r>
              <w:t xml:space="preserve"> </w:t>
            </w:r>
            <w:r>
              <w:t>supported in gaining equitable outcomes as a result of your</w:t>
            </w:r>
            <w:r>
              <w:t xml:space="preserve"> </w:t>
            </w:r>
            <w:r>
              <w:t>strategy and/or funding?</w:t>
            </w:r>
          </w:p>
        </w:tc>
      </w:tr>
      <w:tr w:rsidR="00314D31" w:rsidRPr="000C2E3A" w14:paraId="352D7606" w14:textId="77777777" w:rsidTr="003D2AAA">
        <w:trPr>
          <w:trHeight w:val="1927"/>
        </w:trPr>
        <w:tc>
          <w:tcPr>
            <w:tcW w:w="1584" w:type="dxa"/>
            <w:tcBorders>
              <w:top w:val="single" w:sz="4" w:space="0" w:color="auto"/>
              <w:left w:val="single" w:sz="4" w:space="0" w:color="auto"/>
              <w:bottom w:val="single" w:sz="4" w:space="0" w:color="auto"/>
              <w:right w:val="single" w:sz="4" w:space="0" w:color="auto"/>
            </w:tcBorders>
            <w:shd w:val="clear" w:color="auto" w:fill="ABD4E0"/>
          </w:tcPr>
          <w:p w14:paraId="5C601D4C" w14:textId="1B3D7C60" w:rsidR="00314D31" w:rsidRPr="004656BE" w:rsidRDefault="00416242" w:rsidP="003F27A3">
            <w:pPr>
              <w:rPr>
                <w:w w:val="130"/>
              </w:rPr>
            </w:pPr>
            <w:r w:rsidRPr="00416242">
              <w:t>Working with and valuing minoritised communities</w:t>
            </w:r>
          </w:p>
        </w:tc>
        <w:tc>
          <w:tcPr>
            <w:tcW w:w="1758" w:type="dxa"/>
            <w:tcBorders>
              <w:top w:val="single" w:sz="4" w:space="0" w:color="auto"/>
              <w:left w:val="single" w:sz="4" w:space="0" w:color="auto"/>
              <w:bottom w:val="single" w:sz="4" w:space="0" w:color="auto"/>
              <w:right w:val="single" w:sz="4" w:space="0" w:color="auto"/>
            </w:tcBorders>
            <w:shd w:val="clear" w:color="auto" w:fill="ABD4E0"/>
          </w:tcPr>
          <w:p w14:paraId="6E50C758" w14:textId="2C7F7140" w:rsidR="00314D31" w:rsidRPr="004656BE" w:rsidRDefault="00416242" w:rsidP="003F27A3">
            <w:pPr>
              <w:pStyle w:val="TableParagraph"/>
            </w:pPr>
            <w:r w:rsidRPr="00416242">
              <w:t>Participatory working - with</w:t>
            </w:r>
          </w:p>
        </w:tc>
        <w:tc>
          <w:tcPr>
            <w:tcW w:w="1833" w:type="dxa"/>
            <w:tcBorders>
              <w:top w:val="single" w:sz="4" w:space="0" w:color="auto"/>
              <w:left w:val="single" w:sz="4" w:space="0" w:color="auto"/>
              <w:bottom w:val="single" w:sz="4" w:space="0" w:color="auto"/>
              <w:right w:val="single" w:sz="4" w:space="0" w:color="auto"/>
            </w:tcBorders>
            <w:shd w:val="clear" w:color="auto" w:fill="E8F3F7"/>
          </w:tcPr>
          <w:p w14:paraId="0C3A9443" w14:textId="77777777" w:rsidR="00314D31" w:rsidRDefault="004656BE" w:rsidP="003F27A3">
            <w:pPr>
              <w:pStyle w:val="TableParagraph"/>
            </w:pPr>
            <w:r w:rsidRPr="004656BE">
              <w:t>To</w:t>
            </w:r>
          </w:p>
          <w:p w14:paraId="1B009B18" w14:textId="58F2135D" w:rsidR="00416242" w:rsidRDefault="00416242" w:rsidP="003F27A3">
            <w:pPr>
              <w:pStyle w:val="TableParagraph"/>
            </w:pPr>
            <w:r w:rsidRPr="00416242">
              <w:tab/>
            </w:r>
          </w:p>
          <w:p w14:paraId="41529D2B" w14:textId="3E56978C" w:rsidR="00416242" w:rsidRPr="004656BE" w:rsidRDefault="00416242" w:rsidP="003F27A3">
            <w:pPr>
              <w:pStyle w:val="TableParagraph"/>
            </w:pPr>
          </w:p>
        </w:tc>
        <w:tc>
          <w:tcPr>
            <w:tcW w:w="4252" w:type="dxa"/>
            <w:tcBorders>
              <w:top w:val="single" w:sz="4" w:space="0" w:color="auto"/>
              <w:left w:val="single" w:sz="4" w:space="0" w:color="auto"/>
              <w:bottom w:val="single" w:sz="4" w:space="0" w:color="auto"/>
              <w:right w:val="single" w:sz="4" w:space="0" w:color="auto"/>
            </w:tcBorders>
            <w:shd w:val="clear" w:color="auto" w:fill="E8F3F7"/>
          </w:tcPr>
          <w:p w14:paraId="1E3D09FA" w14:textId="77777777" w:rsidR="0090798C" w:rsidRDefault="0090798C" w:rsidP="003F27A3">
            <w:pPr>
              <w:pStyle w:val="TableParagraph"/>
            </w:pPr>
            <w:r>
              <w:t>H</w:t>
            </w:r>
            <w:r>
              <w:t>ow are you involving participants (and especially those from minoritised communities) in developing your strategy and funding initiatives?</w:t>
            </w:r>
          </w:p>
          <w:p w14:paraId="0FDD3B02" w14:textId="694885AC" w:rsidR="00314D31" w:rsidRPr="004656BE" w:rsidRDefault="0090798C" w:rsidP="003F27A3">
            <w:pPr>
              <w:pStyle w:val="TableParagraph"/>
            </w:pPr>
            <w:r>
              <w:t xml:space="preserve">How are you supporting and encouraging those in your </w:t>
            </w:r>
            <w:proofErr w:type="spellStart"/>
            <w:r>
              <w:t>organisation</w:t>
            </w:r>
            <w:proofErr w:type="spellEnd"/>
            <w:r>
              <w:t xml:space="preserve"> and funding recipients to adopt participatory practices?</w:t>
            </w:r>
          </w:p>
        </w:tc>
      </w:tr>
      <w:tr w:rsidR="00314D31" w:rsidRPr="000C2E3A" w14:paraId="0DD692BC" w14:textId="77777777" w:rsidTr="0090798C">
        <w:trPr>
          <w:trHeight w:val="96"/>
        </w:trPr>
        <w:tc>
          <w:tcPr>
            <w:tcW w:w="1584" w:type="dxa"/>
            <w:tcBorders>
              <w:top w:val="single" w:sz="4" w:space="0" w:color="auto"/>
              <w:left w:val="single" w:sz="4" w:space="0" w:color="auto"/>
              <w:bottom w:val="single" w:sz="4" w:space="0" w:color="auto"/>
              <w:right w:val="single" w:sz="4" w:space="0" w:color="auto"/>
            </w:tcBorders>
            <w:shd w:val="clear" w:color="auto" w:fill="ABD4E0"/>
          </w:tcPr>
          <w:p w14:paraId="17E005E7" w14:textId="77777777" w:rsidR="00416242" w:rsidRDefault="00416242" w:rsidP="003F27A3">
            <w:pPr>
              <w:pStyle w:val="TableParagraph"/>
            </w:pPr>
            <w:r w:rsidRPr="00416242">
              <w:t>Working with and valuing minoritised communities</w:t>
            </w:r>
          </w:p>
          <w:p w14:paraId="2C1583CC" w14:textId="01E70CBB" w:rsidR="00314D31" w:rsidRPr="004656BE" w:rsidRDefault="00314D31" w:rsidP="003F27A3">
            <w:pPr>
              <w:rPr>
                <w:w w:val="120"/>
              </w:rPr>
            </w:pPr>
          </w:p>
        </w:tc>
        <w:tc>
          <w:tcPr>
            <w:tcW w:w="1758" w:type="dxa"/>
            <w:tcBorders>
              <w:top w:val="single" w:sz="4" w:space="0" w:color="auto"/>
              <w:left w:val="single" w:sz="4" w:space="0" w:color="auto"/>
              <w:bottom w:val="single" w:sz="4" w:space="0" w:color="auto"/>
              <w:right w:val="single" w:sz="4" w:space="0" w:color="auto"/>
            </w:tcBorders>
            <w:shd w:val="clear" w:color="auto" w:fill="ABD4E0"/>
          </w:tcPr>
          <w:p w14:paraId="506DE4C0" w14:textId="48904CFA" w:rsidR="00314D31" w:rsidRPr="004656BE" w:rsidRDefault="00416242" w:rsidP="003F27A3">
            <w:r w:rsidRPr="00416242">
              <w:lastRenderedPageBreak/>
              <w:t>Asset-based approach</w:t>
            </w:r>
          </w:p>
        </w:tc>
        <w:tc>
          <w:tcPr>
            <w:tcW w:w="1833" w:type="dxa"/>
            <w:tcBorders>
              <w:top w:val="single" w:sz="4" w:space="0" w:color="auto"/>
              <w:left w:val="single" w:sz="4" w:space="0" w:color="auto"/>
              <w:bottom w:val="single" w:sz="4" w:space="0" w:color="auto"/>
              <w:right w:val="single" w:sz="4" w:space="0" w:color="auto"/>
            </w:tcBorders>
            <w:shd w:val="clear" w:color="auto" w:fill="E8F3F7"/>
          </w:tcPr>
          <w:p w14:paraId="029CBE20" w14:textId="77777777" w:rsidR="00314D31" w:rsidRDefault="004656BE" w:rsidP="003F27A3">
            <w:pPr>
              <w:pStyle w:val="TableParagraph"/>
            </w:pPr>
            <w:r w:rsidRPr="004656BE">
              <w:t>Deficit-based</w:t>
            </w:r>
          </w:p>
          <w:p w14:paraId="35DB8924" w14:textId="62E5DF78" w:rsidR="00416242" w:rsidRPr="004656BE" w:rsidRDefault="00416242" w:rsidP="003F27A3">
            <w:pPr>
              <w:pStyle w:val="TableParagraph"/>
            </w:pPr>
          </w:p>
        </w:tc>
        <w:tc>
          <w:tcPr>
            <w:tcW w:w="4252" w:type="dxa"/>
            <w:tcBorders>
              <w:top w:val="single" w:sz="4" w:space="0" w:color="auto"/>
              <w:left w:val="single" w:sz="4" w:space="0" w:color="auto"/>
              <w:bottom w:val="single" w:sz="4" w:space="0" w:color="auto"/>
              <w:right w:val="single" w:sz="4" w:space="0" w:color="auto"/>
            </w:tcBorders>
            <w:shd w:val="clear" w:color="auto" w:fill="E8F3F7"/>
          </w:tcPr>
          <w:p w14:paraId="05CE67A5" w14:textId="77777777" w:rsidR="0090798C" w:rsidRDefault="0090798C" w:rsidP="003F27A3">
            <w:pPr>
              <w:pStyle w:val="TableParagraph"/>
            </w:pPr>
            <w:r>
              <w:t>How are you meaningfully valuing and being informed by</w:t>
            </w:r>
            <w:r>
              <w:t xml:space="preserve"> </w:t>
            </w:r>
            <w:r>
              <w:t>diverse forms of knowledge and experience? Are minoritised</w:t>
            </w:r>
            <w:r>
              <w:t xml:space="preserve"> </w:t>
            </w:r>
            <w:r>
              <w:t>communities seen as ‘lacking’ or as sources of expertise?</w:t>
            </w:r>
          </w:p>
          <w:p w14:paraId="22ED8A12" w14:textId="50173161" w:rsidR="00314D31" w:rsidRPr="004656BE" w:rsidRDefault="0090798C" w:rsidP="003F27A3">
            <w:pPr>
              <w:pStyle w:val="TableParagraph"/>
            </w:pPr>
            <w:r>
              <w:lastRenderedPageBreak/>
              <w:t>How are you encouraging and supporting colleagues and those</w:t>
            </w:r>
            <w:r>
              <w:t xml:space="preserve"> </w:t>
            </w:r>
            <w:r>
              <w:t>you fund to take assets-based approaches?</w:t>
            </w:r>
          </w:p>
        </w:tc>
      </w:tr>
      <w:tr w:rsidR="00314D31" w:rsidRPr="000C2E3A" w14:paraId="538B43BB" w14:textId="77777777" w:rsidTr="003D2AAA">
        <w:trPr>
          <w:trHeight w:val="1353"/>
        </w:trPr>
        <w:tc>
          <w:tcPr>
            <w:tcW w:w="1584" w:type="dxa"/>
            <w:tcBorders>
              <w:top w:val="single" w:sz="4" w:space="0" w:color="auto"/>
              <w:left w:val="single" w:sz="4" w:space="0" w:color="auto"/>
              <w:bottom w:val="single" w:sz="4" w:space="0" w:color="auto"/>
              <w:right w:val="single" w:sz="4" w:space="0" w:color="auto"/>
            </w:tcBorders>
            <w:shd w:val="clear" w:color="auto" w:fill="F7C8A2"/>
          </w:tcPr>
          <w:p w14:paraId="7BC7E0A1" w14:textId="412775FB" w:rsidR="00314D31" w:rsidRPr="004656BE" w:rsidRDefault="00416242" w:rsidP="003F27A3">
            <w:pPr>
              <w:rPr>
                <w:w w:val="125"/>
              </w:rPr>
            </w:pPr>
            <w:r w:rsidRPr="00416242">
              <w:lastRenderedPageBreak/>
              <w:t>Embedding equity</w:t>
            </w:r>
          </w:p>
        </w:tc>
        <w:tc>
          <w:tcPr>
            <w:tcW w:w="1758" w:type="dxa"/>
            <w:tcBorders>
              <w:top w:val="single" w:sz="4" w:space="0" w:color="auto"/>
              <w:left w:val="single" w:sz="4" w:space="0" w:color="auto"/>
              <w:bottom w:val="single" w:sz="4" w:space="0" w:color="auto"/>
              <w:right w:val="single" w:sz="4" w:space="0" w:color="auto"/>
            </w:tcBorders>
            <w:shd w:val="clear" w:color="auto" w:fill="F7C8A2"/>
          </w:tcPr>
          <w:p w14:paraId="3E017261" w14:textId="61BB0002" w:rsidR="00314D31" w:rsidRPr="004656BE" w:rsidRDefault="00416242" w:rsidP="003F27A3">
            <w:r w:rsidRPr="00416242">
              <w:t>Equity is mainstreamed</w:t>
            </w:r>
          </w:p>
        </w:tc>
        <w:tc>
          <w:tcPr>
            <w:tcW w:w="1833" w:type="dxa"/>
            <w:tcBorders>
              <w:top w:val="single" w:sz="4" w:space="0" w:color="auto"/>
              <w:left w:val="single" w:sz="4" w:space="0" w:color="auto"/>
              <w:bottom w:val="single" w:sz="4" w:space="0" w:color="auto"/>
              <w:right w:val="single" w:sz="4" w:space="0" w:color="auto"/>
            </w:tcBorders>
            <w:shd w:val="clear" w:color="auto" w:fill="FDEFE3"/>
          </w:tcPr>
          <w:p w14:paraId="358DDBCE" w14:textId="77777777" w:rsidR="00314D31" w:rsidRDefault="004656BE" w:rsidP="003F27A3">
            <w:pPr>
              <w:pStyle w:val="TableParagraph"/>
            </w:pPr>
            <w:r w:rsidRPr="004656BE">
              <w:t>Tokenistic</w:t>
            </w:r>
          </w:p>
          <w:p w14:paraId="20CDA786" w14:textId="77777777" w:rsidR="00416242" w:rsidRDefault="00416242" w:rsidP="003F27A3">
            <w:pPr>
              <w:pStyle w:val="TableParagraph"/>
            </w:pPr>
          </w:p>
          <w:p w14:paraId="37046886" w14:textId="549E78CC" w:rsidR="00416242" w:rsidRPr="004656BE" w:rsidRDefault="00416242" w:rsidP="003F27A3">
            <w:pPr>
              <w:pStyle w:val="TableParagraph"/>
            </w:pPr>
            <w:r w:rsidRPr="00416242">
              <w:tab/>
            </w:r>
          </w:p>
        </w:tc>
        <w:tc>
          <w:tcPr>
            <w:tcW w:w="4252" w:type="dxa"/>
            <w:tcBorders>
              <w:top w:val="single" w:sz="4" w:space="0" w:color="auto"/>
              <w:left w:val="single" w:sz="4" w:space="0" w:color="auto"/>
              <w:bottom w:val="single" w:sz="4" w:space="0" w:color="auto"/>
              <w:right w:val="single" w:sz="4" w:space="0" w:color="auto"/>
            </w:tcBorders>
            <w:shd w:val="clear" w:color="auto" w:fill="FDEFE3"/>
          </w:tcPr>
          <w:p w14:paraId="0DAC2203" w14:textId="0BF16C16" w:rsidR="0090798C" w:rsidRDefault="0090798C" w:rsidP="003F27A3">
            <w:pPr>
              <w:pStyle w:val="TableParagraph"/>
            </w:pPr>
            <w:r>
              <w:t>How is equity meaningfully embedded throughout your strategy</w:t>
            </w:r>
            <w:r>
              <w:t xml:space="preserve"> </w:t>
            </w:r>
            <w:r>
              <w:t>and funding? Is it everyone’s responsibility, or not?</w:t>
            </w:r>
          </w:p>
          <w:p w14:paraId="55AEBE0E" w14:textId="77777777" w:rsidR="0090798C" w:rsidRDefault="0090798C" w:rsidP="003F27A3">
            <w:pPr>
              <w:pStyle w:val="TableParagraph"/>
            </w:pPr>
            <w:r>
              <w:t>Do you provide equity training to all staff and external</w:t>
            </w:r>
            <w:r>
              <w:t xml:space="preserve"> </w:t>
            </w:r>
            <w:r>
              <w:t>collaborators? How is equity embedded in peer review?</w:t>
            </w:r>
          </w:p>
          <w:p w14:paraId="588DD0AC" w14:textId="31A1B22B" w:rsidR="00314D31" w:rsidRPr="004656BE" w:rsidRDefault="0090798C" w:rsidP="003F27A3">
            <w:pPr>
              <w:pStyle w:val="TableParagraph"/>
            </w:pPr>
            <w:r>
              <w:t>How is equitable practice audited and reported both in your</w:t>
            </w:r>
            <w:r>
              <w:t xml:space="preserve"> </w:t>
            </w:r>
            <w:r>
              <w:t>own work and that of the people/organisations you fund?</w:t>
            </w:r>
          </w:p>
        </w:tc>
      </w:tr>
      <w:tr w:rsidR="00314D31" w:rsidRPr="000C2E3A" w14:paraId="06020C1C" w14:textId="77777777" w:rsidTr="003D2AAA">
        <w:trPr>
          <w:trHeight w:val="879"/>
        </w:trPr>
        <w:tc>
          <w:tcPr>
            <w:tcW w:w="1584" w:type="dxa"/>
            <w:tcBorders>
              <w:top w:val="single" w:sz="4" w:space="0" w:color="auto"/>
              <w:left w:val="single" w:sz="4" w:space="0" w:color="auto"/>
              <w:bottom w:val="single" w:sz="4" w:space="0" w:color="auto"/>
              <w:right w:val="single" w:sz="4" w:space="0" w:color="auto"/>
            </w:tcBorders>
            <w:shd w:val="clear" w:color="auto" w:fill="EBB0C8"/>
          </w:tcPr>
          <w:p w14:paraId="20B23055" w14:textId="20C26EDB" w:rsidR="00314D31" w:rsidRPr="004656BE" w:rsidRDefault="00416242" w:rsidP="003F27A3">
            <w:pPr>
              <w:rPr>
                <w:w w:val="110"/>
              </w:rPr>
            </w:pPr>
            <w:r w:rsidRPr="00416242">
              <w:t>Extending equity</w:t>
            </w:r>
          </w:p>
        </w:tc>
        <w:tc>
          <w:tcPr>
            <w:tcW w:w="1758" w:type="dxa"/>
            <w:tcBorders>
              <w:top w:val="single" w:sz="4" w:space="0" w:color="auto"/>
              <w:left w:val="single" w:sz="4" w:space="0" w:color="auto"/>
              <w:bottom w:val="single" w:sz="4" w:space="0" w:color="auto"/>
              <w:right w:val="single" w:sz="4" w:space="0" w:color="auto"/>
            </w:tcBorders>
            <w:shd w:val="clear" w:color="auto" w:fill="EBB0C8"/>
          </w:tcPr>
          <w:p w14:paraId="6EF4E6B9" w14:textId="1DE0F7C0" w:rsidR="00314D31" w:rsidRPr="004656BE" w:rsidRDefault="00416242" w:rsidP="003F27A3">
            <w:r w:rsidRPr="00416242">
              <w:t>Long term</w:t>
            </w:r>
          </w:p>
        </w:tc>
        <w:tc>
          <w:tcPr>
            <w:tcW w:w="1833" w:type="dxa"/>
            <w:tcBorders>
              <w:top w:val="single" w:sz="4" w:space="0" w:color="auto"/>
              <w:left w:val="single" w:sz="4" w:space="0" w:color="auto"/>
              <w:bottom w:val="single" w:sz="4" w:space="0" w:color="auto"/>
              <w:right w:val="single" w:sz="4" w:space="0" w:color="auto"/>
            </w:tcBorders>
            <w:shd w:val="clear" w:color="auto" w:fill="F9E9F0"/>
          </w:tcPr>
          <w:p w14:paraId="0FE39EAC" w14:textId="77777777" w:rsidR="00314D31" w:rsidRDefault="004656BE" w:rsidP="003F27A3">
            <w:pPr>
              <w:pStyle w:val="TableParagraph"/>
            </w:pPr>
            <w:r w:rsidRPr="004656BE">
              <w:t>Short term</w:t>
            </w:r>
          </w:p>
          <w:p w14:paraId="153F74E3" w14:textId="77777777" w:rsidR="00416242" w:rsidRDefault="00416242" w:rsidP="003F27A3">
            <w:pPr>
              <w:pStyle w:val="TableParagraph"/>
            </w:pPr>
          </w:p>
          <w:p w14:paraId="626CD7B9" w14:textId="5E2396D5" w:rsidR="00416242" w:rsidRPr="004656BE" w:rsidRDefault="00416242" w:rsidP="003F27A3">
            <w:pPr>
              <w:pStyle w:val="TableParagraph"/>
            </w:pPr>
          </w:p>
        </w:tc>
        <w:tc>
          <w:tcPr>
            <w:tcW w:w="4252" w:type="dxa"/>
            <w:tcBorders>
              <w:top w:val="single" w:sz="4" w:space="0" w:color="auto"/>
              <w:left w:val="single" w:sz="4" w:space="0" w:color="auto"/>
              <w:bottom w:val="single" w:sz="4" w:space="0" w:color="auto"/>
              <w:right w:val="single" w:sz="4" w:space="0" w:color="auto"/>
            </w:tcBorders>
            <w:shd w:val="clear" w:color="auto" w:fill="F9E9F0"/>
          </w:tcPr>
          <w:p w14:paraId="444429BD" w14:textId="7C0250F0" w:rsidR="00314D31" w:rsidRPr="004656BE" w:rsidRDefault="0090798C" w:rsidP="003F27A3">
            <w:pPr>
              <w:pStyle w:val="TableParagraph"/>
            </w:pPr>
            <w:r>
              <w:t>How does your strategy and funding support long-term</w:t>
            </w:r>
            <w:r>
              <w:t xml:space="preserve"> </w:t>
            </w:r>
            <w:r>
              <w:t>outcomes and change, especially for those from minoritised</w:t>
            </w:r>
            <w:r>
              <w:t xml:space="preserve"> </w:t>
            </w:r>
            <w:r>
              <w:t>communities?</w:t>
            </w:r>
          </w:p>
        </w:tc>
      </w:tr>
      <w:tr w:rsidR="00314D31" w:rsidRPr="000C2E3A" w14:paraId="6FD285A1" w14:textId="77777777" w:rsidTr="003D2AAA">
        <w:trPr>
          <w:trHeight w:val="509"/>
        </w:trPr>
        <w:tc>
          <w:tcPr>
            <w:tcW w:w="1584" w:type="dxa"/>
            <w:tcBorders>
              <w:top w:val="single" w:sz="4" w:space="0" w:color="auto"/>
              <w:left w:val="single" w:sz="4" w:space="0" w:color="auto"/>
              <w:bottom w:val="single" w:sz="4" w:space="0" w:color="auto"/>
              <w:right w:val="single" w:sz="4" w:space="0" w:color="auto"/>
            </w:tcBorders>
            <w:shd w:val="clear" w:color="auto" w:fill="EBB0C8"/>
          </w:tcPr>
          <w:p w14:paraId="1797367C" w14:textId="64968D07" w:rsidR="00314D31" w:rsidRPr="004656BE" w:rsidRDefault="00416242" w:rsidP="003F27A3">
            <w:pPr>
              <w:rPr>
                <w:w w:val="115"/>
              </w:rPr>
            </w:pPr>
            <w:r w:rsidRPr="00416242">
              <w:t>Extending equity</w:t>
            </w:r>
          </w:p>
        </w:tc>
        <w:tc>
          <w:tcPr>
            <w:tcW w:w="1758" w:type="dxa"/>
            <w:tcBorders>
              <w:top w:val="single" w:sz="4" w:space="0" w:color="auto"/>
              <w:left w:val="single" w:sz="4" w:space="0" w:color="auto"/>
              <w:bottom w:val="single" w:sz="4" w:space="0" w:color="auto"/>
              <w:right w:val="single" w:sz="4" w:space="0" w:color="auto"/>
            </w:tcBorders>
            <w:shd w:val="clear" w:color="auto" w:fill="EBB0C8"/>
          </w:tcPr>
          <w:p w14:paraId="1F120240" w14:textId="3F2E0BA6" w:rsidR="00314D31" w:rsidRPr="004656BE" w:rsidRDefault="00416242" w:rsidP="003F27A3">
            <w:r w:rsidRPr="00416242">
              <w:t>Community/ society orientation</w:t>
            </w:r>
          </w:p>
        </w:tc>
        <w:tc>
          <w:tcPr>
            <w:tcW w:w="1833" w:type="dxa"/>
            <w:tcBorders>
              <w:top w:val="single" w:sz="4" w:space="0" w:color="auto"/>
              <w:left w:val="single" w:sz="4" w:space="0" w:color="auto"/>
              <w:bottom w:val="single" w:sz="4" w:space="0" w:color="auto"/>
              <w:right w:val="single" w:sz="4" w:space="0" w:color="auto"/>
            </w:tcBorders>
            <w:shd w:val="clear" w:color="auto" w:fill="F9E9F0"/>
          </w:tcPr>
          <w:p w14:paraId="4249F6A1" w14:textId="77777777" w:rsidR="00314D31" w:rsidRDefault="004656BE" w:rsidP="003F27A3">
            <w:pPr>
              <w:pStyle w:val="TableParagraph"/>
            </w:pPr>
            <w:r w:rsidRPr="004656BE">
              <w:t xml:space="preserve">Individual </w:t>
            </w:r>
          </w:p>
          <w:p w14:paraId="226901D0" w14:textId="77777777" w:rsidR="00416242" w:rsidRDefault="00416242" w:rsidP="003F27A3">
            <w:pPr>
              <w:pStyle w:val="TableParagraph"/>
            </w:pPr>
          </w:p>
          <w:p w14:paraId="0BE75BDA" w14:textId="5C2CD681" w:rsidR="00416242" w:rsidRPr="004656BE" w:rsidRDefault="00416242" w:rsidP="003F27A3">
            <w:pPr>
              <w:pStyle w:val="TableParagraph"/>
            </w:pPr>
            <w:r w:rsidRPr="00416242">
              <w:tab/>
            </w:r>
          </w:p>
        </w:tc>
        <w:tc>
          <w:tcPr>
            <w:tcW w:w="4252" w:type="dxa"/>
            <w:tcBorders>
              <w:top w:val="single" w:sz="4" w:space="0" w:color="auto"/>
              <w:left w:val="single" w:sz="4" w:space="0" w:color="auto"/>
              <w:bottom w:val="single" w:sz="4" w:space="0" w:color="auto"/>
              <w:right w:val="single" w:sz="4" w:space="0" w:color="auto"/>
            </w:tcBorders>
            <w:shd w:val="clear" w:color="auto" w:fill="F9E9F0"/>
          </w:tcPr>
          <w:p w14:paraId="10ED0481" w14:textId="57692250" w:rsidR="00314D31" w:rsidRPr="004656BE" w:rsidRDefault="0090798C" w:rsidP="003F27A3">
            <w:pPr>
              <w:pStyle w:val="TableParagraph"/>
            </w:pPr>
            <w:r>
              <w:t xml:space="preserve">How are your strategy and funding </w:t>
            </w:r>
            <w:proofErr w:type="spellStart"/>
            <w:r>
              <w:t>prioritising</w:t>
            </w:r>
            <w:proofErr w:type="spellEnd"/>
            <w:r>
              <w:t xml:space="preserve"> collective</w:t>
            </w:r>
            <w:r>
              <w:t xml:space="preserve"> </w:t>
            </w:r>
            <w:r>
              <w:t>(community, society) equitable outcomes, not just individual</w:t>
            </w:r>
            <w:r>
              <w:t xml:space="preserve"> </w:t>
            </w:r>
            <w:r>
              <w:t>outcomes?</w:t>
            </w:r>
          </w:p>
        </w:tc>
      </w:tr>
    </w:tbl>
    <w:p w14:paraId="60F23A68" w14:textId="000CB123" w:rsidR="00B92CA0" w:rsidRDefault="00B92CA0" w:rsidP="003F27A3">
      <w:pPr>
        <w:pStyle w:val="Heading2"/>
      </w:pPr>
      <w:r w:rsidRPr="003F27A3">
        <w:t>Spotlight</w:t>
      </w:r>
      <w:r w:rsidRPr="00B92CA0">
        <w:t xml:space="preserve"> on practice</w:t>
      </w:r>
      <w:r w:rsidR="0090798C">
        <w:t xml:space="preserve">: </w:t>
      </w:r>
      <w:r w:rsidR="0090798C">
        <w:t xml:space="preserve">Reviewing a funding </w:t>
      </w:r>
      <w:proofErr w:type="spellStart"/>
      <w:r w:rsidR="0090798C">
        <w:t>programme</w:t>
      </w:r>
      <w:proofErr w:type="spellEnd"/>
      <w:r w:rsidR="0090798C">
        <w:t xml:space="preserve"> using the</w:t>
      </w:r>
      <w:r w:rsidR="0090798C">
        <w:t xml:space="preserve"> </w:t>
      </w:r>
      <w:r w:rsidR="0090798C">
        <w:t>Equity Compass</w:t>
      </w:r>
      <w:r w:rsidRPr="00B92CA0">
        <w:t xml:space="preserve">  </w:t>
      </w:r>
    </w:p>
    <w:p w14:paraId="3FA74EDA" w14:textId="77777777" w:rsidR="003F27A3" w:rsidRDefault="0090798C" w:rsidP="003F27A3">
      <w:r>
        <w:t xml:space="preserve">Senior leaders at a science engagement </w:t>
      </w:r>
      <w:proofErr w:type="spellStart"/>
      <w:r>
        <w:t>organisation</w:t>
      </w:r>
      <w:proofErr w:type="spellEnd"/>
      <w:r>
        <w:t xml:space="preserve"> </w:t>
      </w:r>
      <w:r>
        <w:t>decided to use the Equity Compass to reflect on</w:t>
      </w:r>
      <w:r>
        <w:t xml:space="preserve"> </w:t>
      </w:r>
      <w:r>
        <w:t>and inform a review of several of their funding</w:t>
      </w:r>
      <w:r>
        <w:t xml:space="preserve"> </w:t>
      </w:r>
      <w:proofErr w:type="spellStart"/>
      <w:r>
        <w:t>programmes</w:t>
      </w:r>
      <w:proofErr w:type="spellEnd"/>
      <w:r>
        <w:t xml:space="preserve">, to </w:t>
      </w:r>
      <w:proofErr w:type="spellStart"/>
      <w:r>
        <w:t>maximise</w:t>
      </w:r>
      <w:proofErr w:type="spellEnd"/>
      <w:r>
        <w:t xml:space="preserve"> the equitable potential</w:t>
      </w:r>
      <w:r w:rsidR="003F27A3">
        <w:t xml:space="preserve"> </w:t>
      </w:r>
      <w:r>
        <w:t xml:space="preserve">of their strategy and funding. </w:t>
      </w:r>
      <w:r w:rsidRPr="003F27A3">
        <w:rPr>
          <w:b/>
          <w:bCs/>
        </w:rPr>
        <w:t xml:space="preserve">The </w:t>
      </w:r>
      <w:proofErr w:type="spellStart"/>
      <w:r w:rsidRPr="003F27A3">
        <w:rPr>
          <w:b/>
          <w:bCs/>
        </w:rPr>
        <w:t>programme</w:t>
      </w:r>
      <w:proofErr w:type="spellEnd"/>
      <w:r w:rsidRPr="003F27A3">
        <w:rPr>
          <w:b/>
          <w:bCs/>
        </w:rPr>
        <w:t xml:space="preserve"> in</w:t>
      </w:r>
      <w:r w:rsidRPr="003F27A3">
        <w:rPr>
          <w:b/>
          <w:bCs/>
        </w:rPr>
        <w:t xml:space="preserve"> </w:t>
      </w:r>
      <w:r w:rsidRPr="003F27A3">
        <w:rPr>
          <w:b/>
          <w:bCs/>
        </w:rPr>
        <w:t>question invited collaborations between research</w:t>
      </w:r>
      <w:r w:rsidR="003F27A3" w:rsidRPr="003F27A3">
        <w:rPr>
          <w:b/>
          <w:bCs/>
        </w:rPr>
        <w:t xml:space="preserve"> </w:t>
      </w:r>
      <w:r w:rsidRPr="003F27A3">
        <w:rPr>
          <w:b/>
          <w:bCs/>
        </w:rPr>
        <w:t>scientists and community organisations, with</w:t>
      </w:r>
      <w:r w:rsidRPr="003F27A3">
        <w:rPr>
          <w:b/>
          <w:bCs/>
        </w:rPr>
        <w:t xml:space="preserve"> </w:t>
      </w:r>
      <w:r w:rsidRPr="003F27A3">
        <w:rPr>
          <w:b/>
          <w:bCs/>
        </w:rPr>
        <w:t>a view to diversifying science engagement</w:t>
      </w:r>
      <w:r w:rsidRPr="003F27A3">
        <w:rPr>
          <w:b/>
          <w:bCs/>
        </w:rPr>
        <w:t>.</w:t>
      </w:r>
      <w:r>
        <w:t xml:space="preserve"> </w:t>
      </w:r>
    </w:p>
    <w:p w14:paraId="270DF36E" w14:textId="26F92904" w:rsidR="0090798C" w:rsidRDefault="0090798C" w:rsidP="003F27A3">
      <w:r w:rsidRPr="003F27A3">
        <w:rPr>
          <w:b/>
          <w:bCs/>
        </w:rPr>
        <w:t xml:space="preserve">The </w:t>
      </w:r>
      <w:proofErr w:type="spellStart"/>
      <w:r w:rsidRPr="003F27A3">
        <w:rPr>
          <w:b/>
          <w:bCs/>
        </w:rPr>
        <w:t>programme</w:t>
      </w:r>
      <w:proofErr w:type="spellEnd"/>
      <w:r w:rsidRPr="003F27A3">
        <w:rPr>
          <w:b/>
          <w:bCs/>
        </w:rPr>
        <w:t xml:space="preserve"> </w:t>
      </w:r>
      <w:proofErr w:type="spellStart"/>
      <w:r w:rsidRPr="003F27A3">
        <w:rPr>
          <w:b/>
          <w:bCs/>
        </w:rPr>
        <w:t>emphasised</w:t>
      </w:r>
      <w:proofErr w:type="spellEnd"/>
      <w:r w:rsidRPr="003F27A3">
        <w:rPr>
          <w:b/>
          <w:bCs/>
        </w:rPr>
        <w:t xml:space="preserve"> the importance</w:t>
      </w:r>
      <w:r w:rsidRPr="003F27A3">
        <w:rPr>
          <w:b/>
          <w:bCs/>
        </w:rPr>
        <w:t xml:space="preserve"> </w:t>
      </w:r>
      <w:r w:rsidRPr="003F27A3">
        <w:rPr>
          <w:b/>
          <w:bCs/>
        </w:rPr>
        <w:t>of ensuring that youth and community voices</w:t>
      </w:r>
      <w:r w:rsidRPr="003F27A3">
        <w:rPr>
          <w:b/>
          <w:bCs/>
        </w:rPr>
        <w:t xml:space="preserve"> </w:t>
      </w:r>
      <w:r w:rsidRPr="003F27A3">
        <w:rPr>
          <w:b/>
          <w:bCs/>
        </w:rPr>
        <w:t>were part of application.</w:t>
      </w:r>
      <w:r>
        <w:t xml:space="preserve"> The tables below use</w:t>
      </w:r>
      <w:r>
        <w:t xml:space="preserve"> </w:t>
      </w:r>
      <w:r>
        <w:t>the Equity Compass worksheet to capture some</w:t>
      </w:r>
      <w:r>
        <w:t xml:space="preserve"> </w:t>
      </w:r>
      <w:r>
        <w:t>of senior leaders’ reflections on one of their</w:t>
      </w:r>
      <w:r>
        <w:t xml:space="preserve"> </w:t>
      </w:r>
      <w:proofErr w:type="spellStart"/>
      <w:r>
        <w:t>programmes</w:t>
      </w:r>
      <w:proofErr w:type="spellEnd"/>
      <w:r>
        <w:t xml:space="preserve"> and show how they used these to</w:t>
      </w:r>
      <w:r>
        <w:t xml:space="preserve"> </w:t>
      </w:r>
      <w:r>
        <w:t>inform forward planning.</w:t>
      </w:r>
    </w:p>
    <w:p w14:paraId="309D0C60" w14:textId="77777777" w:rsidR="0090798C" w:rsidRDefault="0090798C" w:rsidP="003F27A3"/>
    <w:p w14:paraId="597F96C0" w14:textId="77777777" w:rsidR="009D49BE" w:rsidRDefault="009D49BE">
      <w:pPr>
        <w:spacing w:after="0"/>
        <w:rPr>
          <w:b/>
          <w:bCs/>
          <w:color w:val="006885"/>
          <w:sz w:val="24"/>
          <w:szCs w:val="24"/>
        </w:rPr>
      </w:pPr>
      <w:r>
        <w:br w:type="page"/>
      </w:r>
    </w:p>
    <w:p w14:paraId="71C3E769" w14:textId="4832A20D" w:rsidR="0090798C" w:rsidRPr="003F27A3" w:rsidRDefault="0090798C" w:rsidP="003F27A3">
      <w:pPr>
        <w:pStyle w:val="Heading3"/>
      </w:pPr>
      <w:r w:rsidRPr="003F27A3">
        <w:lastRenderedPageBreak/>
        <w:t xml:space="preserve">Example 1: How the funder team reflected on their </w:t>
      </w:r>
      <w:proofErr w:type="spellStart"/>
      <w:r w:rsidRPr="003F27A3">
        <w:t>programmes</w:t>
      </w:r>
      <w:proofErr w:type="spellEnd"/>
      <w:r w:rsidRPr="003F27A3">
        <w:t xml:space="preserve"> using the Equity Compass</w:t>
      </w:r>
      <w:r w:rsidRPr="003F27A3">
        <w:t xml:space="preserve"> – Challenging the status quo</w:t>
      </w:r>
      <w:r w:rsidRPr="003F27A3">
        <w:t>.</w:t>
      </w:r>
    </w:p>
    <w:p w14:paraId="6308E4AC" w14:textId="673995BD" w:rsidR="0090798C" w:rsidRDefault="0090798C" w:rsidP="003F27A3"/>
    <w:p w14:paraId="78168DEE" w14:textId="7359BA88" w:rsidR="003F27A3" w:rsidRDefault="003F27A3" w:rsidP="003F27A3">
      <w:pPr>
        <w:pStyle w:val="Caption"/>
      </w:pPr>
      <w:r>
        <w:t xml:space="preserve">Table </w:t>
      </w:r>
      <w:fldSimple w:instr=" SEQ Table \* ARABIC ">
        <w:r>
          <w:rPr>
            <w:noProof/>
          </w:rPr>
          <w:t>2</w:t>
        </w:r>
      </w:fldSimple>
      <w:r>
        <w:t xml:space="preserve">: Worksheet for reflecting on and developing practice – </w:t>
      </w:r>
      <w:r w:rsidRPr="003F27A3">
        <w:t>Challenging the status quo</w:t>
      </w:r>
      <w:r>
        <w:t>.</w:t>
      </w:r>
    </w:p>
    <w:tbl>
      <w:tblPr>
        <w:tblW w:w="9144" w:type="dxa"/>
        <w:tblInd w:w="207" w:type="dxa"/>
        <w:tblLayout w:type="fixed"/>
        <w:tblCellMar>
          <w:top w:w="28" w:type="dxa"/>
          <w:left w:w="28" w:type="dxa"/>
          <w:right w:w="0" w:type="dxa"/>
        </w:tblCellMar>
        <w:tblLook w:val="01E0" w:firstRow="1" w:lastRow="1" w:firstColumn="1" w:lastColumn="1" w:noHBand="0" w:noVBand="0"/>
      </w:tblPr>
      <w:tblGrid>
        <w:gridCol w:w="1631"/>
        <w:gridCol w:w="1559"/>
        <w:gridCol w:w="5954"/>
      </w:tblGrid>
      <w:tr w:rsidR="0090798C" w:rsidRPr="004A5D5C" w14:paraId="7038993C" w14:textId="31964E74" w:rsidTr="003F27A3">
        <w:trPr>
          <w:trHeight w:val="615"/>
          <w:tblHeader/>
        </w:trPr>
        <w:tc>
          <w:tcPr>
            <w:tcW w:w="1631" w:type="dxa"/>
            <w:tcBorders>
              <w:top w:val="single" w:sz="4" w:space="0" w:color="auto"/>
              <w:left w:val="single" w:sz="4" w:space="0" w:color="auto"/>
              <w:bottom w:val="single" w:sz="4" w:space="0" w:color="auto"/>
              <w:right w:val="single" w:sz="4" w:space="0" w:color="auto"/>
            </w:tcBorders>
            <w:shd w:val="clear" w:color="auto" w:fill="000000"/>
          </w:tcPr>
          <w:p w14:paraId="546BA447" w14:textId="77777777" w:rsidR="0090798C" w:rsidRPr="004A5D5C" w:rsidRDefault="0090798C" w:rsidP="003F27A3">
            <w:pPr>
              <w:rPr>
                <w:w w:val="120"/>
              </w:rPr>
            </w:pPr>
            <w:r w:rsidRPr="003D2AAA">
              <w:t>Area</w:t>
            </w:r>
          </w:p>
        </w:tc>
        <w:tc>
          <w:tcPr>
            <w:tcW w:w="1559" w:type="dxa"/>
            <w:tcBorders>
              <w:top w:val="single" w:sz="4" w:space="0" w:color="auto"/>
              <w:left w:val="single" w:sz="4" w:space="0" w:color="auto"/>
              <w:bottom w:val="single" w:sz="4" w:space="0" w:color="auto"/>
              <w:right w:val="single" w:sz="4" w:space="0" w:color="auto"/>
            </w:tcBorders>
            <w:shd w:val="clear" w:color="auto" w:fill="000000"/>
          </w:tcPr>
          <w:p w14:paraId="408A13A8" w14:textId="25E56D8C" w:rsidR="0090798C" w:rsidRPr="004A5D5C" w:rsidRDefault="0090798C" w:rsidP="003F27A3">
            <w:r w:rsidRPr="003D2AAA">
              <w:t>Equity dimension</w:t>
            </w:r>
          </w:p>
        </w:tc>
        <w:tc>
          <w:tcPr>
            <w:tcW w:w="5954" w:type="dxa"/>
            <w:tcBorders>
              <w:left w:val="single" w:sz="4" w:space="0" w:color="auto"/>
              <w:bottom w:val="single" w:sz="4" w:space="0" w:color="auto"/>
            </w:tcBorders>
            <w:shd w:val="clear" w:color="auto" w:fill="000000"/>
          </w:tcPr>
          <w:p w14:paraId="648C2A1D" w14:textId="210BB8DB" w:rsidR="0090798C" w:rsidRPr="004A5D5C" w:rsidRDefault="0090798C" w:rsidP="003F27A3">
            <w:r>
              <w:t>Reflections on current practice</w:t>
            </w:r>
          </w:p>
        </w:tc>
      </w:tr>
      <w:tr w:rsidR="0090798C" w:rsidRPr="004656BE" w14:paraId="27747B4D" w14:textId="0B74D141" w:rsidTr="003F27A3">
        <w:trPr>
          <w:trHeight w:val="863"/>
        </w:trPr>
        <w:tc>
          <w:tcPr>
            <w:tcW w:w="1631" w:type="dxa"/>
            <w:tcBorders>
              <w:top w:val="single" w:sz="4" w:space="0" w:color="auto"/>
              <w:left w:val="single" w:sz="4" w:space="0" w:color="auto"/>
              <w:bottom w:val="single" w:sz="4" w:space="0" w:color="auto"/>
              <w:right w:val="single" w:sz="4" w:space="0" w:color="auto"/>
            </w:tcBorders>
            <w:shd w:val="clear" w:color="auto" w:fill="FEEAAC"/>
          </w:tcPr>
          <w:p w14:paraId="465B98EB" w14:textId="77777777" w:rsidR="0090798C" w:rsidRDefault="0090798C" w:rsidP="003F27A3">
            <w:pPr>
              <w:pStyle w:val="TableParagraph"/>
            </w:pPr>
            <w:r>
              <w:t>Challenging the status quo</w:t>
            </w:r>
          </w:p>
          <w:p w14:paraId="43064E9B" w14:textId="77777777" w:rsidR="0090798C" w:rsidRPr="004656BE" w:rsidRDefault="0090798C" w:rsidP="003F27A3">
            <w:pPr>
              <w:rPr>
                <w:w w:val="115"/>
              </w:rPr>
            </w:pPr>
          </w:p>
        </w:tc>
        <w:tc>
          <w:tcPr>
            <w:tcW w:w="1559" w:type="dxa"/>
            <w:tcBorders>
              <w:top w:val="single" w:sz="4" w:space="0" w:color="auto"/>
              <w:left w:val="single" w:sz="4" w:space="0" w:color="auto"/>
              <w:bottom w:val="single" w:sz="4" w:space="0" w:color="auto"/>
              <w:right w:val="single" w:sz="4" w:space="0" w:color="auto"/>
            </w:tcBorders>
            <w:shd w:val="clear" w:color="auto" w:fill="FEEAAC"/>
          </w:tcPr>
          <w:p w14:paraId="640264FA" w14:textId="77777777" w:rsidR="0090798C" w:rsidRPr="004656BE" w:rsidRDefault="0090798C" w:rsidP="003F27A3">
            <w:r>
              <w:t>Transforming power relations</w:t>
            </w:r>
          </w:p>
        </w:tc>
        <w:tc>
          <w:tcPr>
            <w:tcW w:w="5954" w:type="dxa"/>
            <w:tcBorders>
              <w:top w:val="single" w:sz="4" w:space="0" w:color="auto"/>
              <w:left w:val="single" w:sz="4" w:space="0" w:color="auto"/>
              <w:bottom w:val="single" w:sz="4" w:space="0" w:color="auto"/>
              <w:right w:val="single" w:sz="4" w:space="0" w:color="auto"/>
            </w:tcBorders>
            <w:shd w:val="clear" w:color="auto" w:fill="FFF9E8"/>
          </w:tcPr>
          <w:p w14:paraId="11B6C05D" w14:textId="13BA784C" w:rsidR="0090798C" w:rsidRDefault="0090798C" w:rsidP="003F27A3">
            <w:pPr>
              <w:pStyle w:val="TableParagraph"/>
            </w:pPr>
            <w:r>
              <w:t>Although the funding call requires applicants</w:t>
            </w:r>
            <w:r>
              <w:t xml:space="preserve"> </w:t>
            </w:r>
            <w:r>
              <w:t>from collaborations between community</w:t>
            </w:r>
            <w:r>
              <w:t xml:space="preserve"> </w:t>
            </w:r>
            <w:r>
              <w:t>organisations and researchers, applications</w:t>
            </w:r>
            <w:r>
              <w:t xml:space="preserve"> </w:t>
            </w:r>
            <w:r>
              <w:t>were predominantly submitted and led by</w:t>
            </w:r>
            <w:r>
              <w:t xml:space="preserve"> </w:t>
            </w:r>
            <w:r>
              <w:t>researchers.</w:t>
            </w:r>
          </w:p>
          <w:p w14:paraId="01D019A5" w14:textId="34DB46E6" w:rsidR="0090798C" w:rsidRPr="004656BE" w:rsidRDefault="0090798C" w:rsidP="003F27A3">
            <w:pPr>
              <w:pStyle w:val="TableParagraph"/>
            </w:pPr>
            <w:r>
              <w:t>The current application process might help</w:t>
            </w:r>
            <w:r>
              <w:t xml:space="preserve"> </w:t>
            </w:r>
            <w:r>
              <w:t>maintain unequal power relations between</w:t>
            </w:r>
            <w:r>
              <w:t xml:space="preserve"> </w:t>
            </w:r>
            <w:r>
              <w:t>researchers and community organisations,</w:t>
            </w:r>
            <w:r>
              <w:t xml:space="preserve"> </w:t>
            </w:r>
            <w:r>
              <w:t xml:space="preserve">constraining our vision for the </w:t>
            </w:r>
            <w:proofErr w:type="spellStart"/>
            <w:r>
              <w:t>programme</w:t>
            </w:r>
            <w:proofErr w:type="spellEnd"/>
            <w:r>
              <w:t>.</w:t>
            </w:r>
          </w:p>
        </w:tc>
      </w:tr>
      <w:tr w:rsidR="0090798C" w:rsidRPr="004656BE" w14:paraId="6B438A9E" w14:textId="740ADE20" w:rsidTr="003F27A3">
        <w:trPr>
          <w:trHeight w:val="1339"/>
        </w:trPr>
        <w:tc>
          <w:tcPr>
            <w:tcW w:w="1631" w:type="dxa"/>
            <w:tcBorders>
              <w:top w:val="single" w:sz="4" w:space="0" w:color="auto"/>
              <w:left w:val="single" w:sz="4" w:space="0" w:color="auto"/>
              <w:bottom w:val="single" w:sz="4" w:space="0" w:color="auto"/>
              <w:right w:val="single" w:sz="4" w:space="0" w:color="auto"/>
            </w:tcBorders>
            <w:shd w:val="clear" w:color="auto" w:fill="FEEAAC"/>
          </w:tcPr>
          <w:p w14:paraId="3AAB00D5" w14:textId="77777777" w:rsidR="0090798C" w:rsidRDefault="0090798C" w:rsidP="003F27A3">
            <w:pPr>
              <w:pStyle w:val="TableParagraph"/>
            </w:pPr>
            <w:r>
              <w:t xml:space="preserve">Challenging the status quo </w:t>
            </w:r>
          </w:p>
          <w:p w14:paraId="4D4BBD46" w14:textId="77777777" w:rsidR="0090798C" w:rsidRPr="004656BE" w:rsidRDefault="0090798C" w:rsidP="003F27A3">
            <w:pPr>
              <w:rPr>
                <w:w w:val="130"/>
              </w:rPr>
            </w:pPr>
          </w:p>
        </w:tc>
        <w:tc>
          <w:tcPr>
            <w:tcW w:w="1559" w:type="dxa"/>
            <w:tcBorders>
              <w:top w:val="single" w:sz="4" w:space="0" w:color="auto"/>
              <w:left w:val="single" w:sz="4" w:space="0" w:color="auto"/>
              <w:bottom w:val="single" w:sz="4" w:space="0" w:color="auto"/>
              <w:right w:val="single" w:sz="4" w:space="0" w:color="auto"/>
            </w:tcBorders>
            <w:shd w:val="clear" w:color="auto" w:fill="FEEAAC"/>
          </w:tcPr>
          <w:p w14:paraId="6DA914B9" w14:textId="77777777" w:rsidR="0090798C" w:rsidRPr="004656BE" w:rsidRDefault="0090798C" w:rsidP="003F27A3">
            <w:pPr>
              <w:rPr>
                <w:w w:val="115"/>
              </w:rPr>
            </w:pPr>
            <w:proofErr w:type="spellStart"/>
            <w:r>
              <w:t>Prioritising</w:t>
            </w:r>
            <w:proofErr w:type="spellEnd"/>
            <w:r>
              <w:t xml:space="preserve"> minoritised communities</w:t>
            </w:r>
          </w:p>
        </w:tc>
        <w:tc>
          <w:tcPr>
            <w:tcW w:w="5954" w:type="dxa"/>
            <w:tcBorders>
              <w:top w:val="single" w:sz="4" w:space="0" w:color="auto"/>
              <w:left w:val="single" w:sz="4" w:space="0" w:color="auto"/>
              <w:bottom w:val="single" w:sz="4" w:space="0" w:color="auto"/>
              <w:right w:val="single" w:sz="4" w:space="0" w:color="auto"/>
            </w:tcBorders>
            <w:shd w:val="clear" w:color="auto" w:fill="FFF9E8"/>
          </w:tcPr>
          <w:p w14:paraId="49555FA8" w14:textId="316FA414" w:rsidR="0090798C" w:rsidRPr="004656BE" w:rsidRDefault="0090798C" w:rsidP="003F27A3">
            <w:pPr>
              <w:pStyle w:val="TableParagraph"/>
            </w:pPr>
            <w:r>
              <w:t>While the funding call required applicants</w:t>
            </w:r>
            <w:r>
              <w:t xml:space="preserve"> </w:t>
            </w:r>
            <w:r>
              <w:t>to address community needs, the funders</w:t>
            </w:r>
            <w:r>
              <w:t xml:space="preserve"> </w:t>
            </w:r>
            <w:r>
              <w:t>noticed that applications were predominantly</w:t>
            </w:r>
            <w:r>
              <w:t xml:space="preserve"> </w:t>
            </w:r>
            <w:r>
              <w:t>driven by researchers’ interests to share their</w:t>
            </w:r>
            <w:r>
              <w:t xml:space="preserve"> </w:t>
            </w:r>
            <w:r>
              <w:t>research insights that they felt would be</w:t>
            </w:r>
            <w:r>
              <w:t xml:space="preserve"> </w:t>
            </w:r>
            <w:r>
              <w:t>beneficial for communities.</w:t>
            </w:r>
          </w:p>
        </w:tc>
      </w:tr>
      <w:tr w:rsidR="0090798C" w:rsidRPr="004656BE" w14:paraId="50452A42" w14:textId="59CEDCC7" w:rsidTr="003F27A3">
        <w:trPr>
          <w:trHeight w:val="1841"/>
        </w:trPr>
        <w:tc>
          <w:tcPr>
            <w:tcW w:w="1631" w:type="dxa"/>
            <w:tcBorders>
              <w:top w:val="single" w:sz="4" w:space="0" w:color="auto"/>
              <w:left w:val="single" w:sz="4" w:space="0" w:color="auto"/>
              <w:bottom w:val="single" w:sz="4" w:space="0" w:color="auto"/>
              <w:right w:val="single" w:sz="4" w:space="0" w:color="auto"/>
            </w:tcBorders>
            <w:shd w:val="clear" w:color="auto" w:fill="FEEAAC"/>
          </w:tcPr>
          <w:p w14:paraId="1929C065" w14:textId="77777777" w:rsidR="0090798C" w:rsidRPr="004656BE" w:rsidRDefault="0090798C" w:rsidP="003F27A3">
            <w:pPr>
              <w:rPr>
                <w:w w:val="125"/>
              </w:rPr>
            </w:pPr>
            <w:r w:rsidRPr="00416242">
              <w:t>Challenging the status quo</w:t>
            </w:r>
          </w:p>
        </w:tc>
        <w:tc>
          <w:tcPr>
            <w:tcW w:w="1559" w:type="dxa"/>
            <w:tcBorders>
              <w:top w:val="single" w:sz="4" w:space="0" w:color="auto"/>
              <w:left w:val="single" w:sz="4" w:space="0" w:color="auto"/>
              <w:bottom w:val="single" w:sz="4" w:space="0" w:color="auto"/>
              <w:right w:val="single" w:sz="4" w:space="0" w:color="auto"/>
            </w:tcBorders>
            <w:shd w:val="clear" w:color="auto" w:fill="FEEAAC"/>
          </w:tcPr>
          <w:p w14:paraId="71C692DE" w14:textId="77777777" w:rsidR="0090798C" w:rsidRPr="004656BE" w:rsidRDefault="0090798C" w:rsidP="003F27A3">
            <w:r w:rsidRPr="00416242">
              <w:t>Redistributing resources</w:t>
            </w:r>
          </w:p>
        </w:tc>
        <w:tc>
          <w:tcPr>
            <w:tcW w:w="5954" w:type="dxa"/>
            <w:tcBorders>
              <w:top w:val="single" w:sz="4" w:space="0" w:color="auto"/>
              <w:left w:val="single" w:sz="4" w:space="0" w:color="auto"/>
              <w:bottom w:val="single" w:sz="4" w:space="0" w:color="auto"/>
              <w:right w:val="single" w:sz="4" w:space="0" w:color="auto"/>
            </w:tcBorders>
            <w:shd w:val="clear" w:color="auto" w:fill="FFF9E8"/>
          </w:tcPr>
          <w:p w14:paraId="19BBAF6A" w14:textId="14A7402B" w:rsidR="0090798C" w:rsidRPr="004656BE" w:rsidRDefault="0090798C" w:rsidP="003F27A3">
            <w:pPr>
              <w:pStyle w:val="TableParagraph"/>
            </w:pPr>
            <w:r>
              <w:t>There is a risk that funding is mostly</w:t>
            </w:r>
            <w:r>
              <w:t xml:space="preserve"> </w:t>
            </w:r>
            <w:r>
              <w:t>granted to those who are already better</w:t>
            </w:r>
            <w:r>
              <w:t xml:space="preserve"> </w:t>
            </w:r>
            <w:r>
              <w:t>resourced and who have greater experience</w:t>
            </w:r>
            <w:r>
              <w:t xml:space="preserve"> </w:t>
            </w:r>
            <w:r>
              <w:t>with respect to grant writing (i.e., research</w:t>
            </w:r>
            <w:r>
              <w:t xml:space="preserve"> </w:t>
            </w:r>
            <w:r>
              <w:t>organisations). On the other hand,</w:t>
            </w:r>
            <w:r>
              <w:t xml:space="preserve"> </w:t>
            </w:r>
            <w:r>
              <w:t>community organisations often have</w:t>
            </w:r>
            <w:r>
              <w:t xml:space="preserve"> </w:t>
            </w:r>
            <w:r>
              <w:t>fewer resources to support applications</w:t>
            </w:r>
            <w:r>
              <w:t xml:space="preserve"> </w:t>
            </w:r>
            <w:r>
              <w:t>and are less likely to apply and/or lead the</w:t>
            </w:r>
            <w:r>
              <w:t xml:space="preserve"> </w:t>
            </w:r>
            <w:r>
              <w:t>application.</w:t>
            </w:r>
          </w:p>
        </w:tc>
      </w:tr>
    </w:tbl>
    <w:p w14:paraId="27326C26" w14:textId="77777777" w:rsidR="0090798C" w:rsidRDefault="0090798C" w:rsidP="003F27A3"/>
    <w:p w14:paraId="16CE09E7" w14:textId="77777777" w:rsidR="0090798C" w:rsidRDefault="0090798C" w:rsidP="003F27A3">
      <w:r>
        <w:t>Plans for development:</w:t>
      </w:r>
    </w:p>
    <w:p w14:paraId="795EA65A" w14:textId="2E4955A5" w:rsidR="0090798C" w:rsidRDefault="0090798C" w:rsidP="003F27A3">
      <w:pPr>
        <w:pStyle w:val="TableParagraph"/>
        <w:numPr>
          <w:ilvl w:val="0"/>
          <w:numId w:val="8"/>
        </w:numPr>
      </w:pPr>
      <w:proofErr w:type="spellStart"/>
      <w:r>
        <w:t>Prioritise</w:t>
      </w:r>
      <w:proofErr w:type="spellEnd"/>
      <w:r>
        <w:t xml:space="preserve"> funding for applications led by the community organisations.</w:t>
      </w:r>
    </w:p>
    <w:p w14:paraId="11BDB535" w14:textId="77777777" w:rsidR="0090798C" w:rsidRDefault="0090798C" w:rsidP="003F27A3">
      <w:pPr>
        <w:pStyle w:val="TableParagraph"/>
        <w:numPr>
          <w:ilvl w:val="0"/>
          <w:numId w:val="8"/>
        </w:numPr>
      </w:pPr>
      <w:r>
        <w:t>Ask applicants to demonstrate how the project would respond to community needs.</w:t>
      </w:r>
    </w:p>
    <w:p w14:paraId="5FBA2754" w14:textId="77777777" w:rsidR="0090798C" w:rsidRDefault="0090798C" w:rsidP="003F27A3">
      <w:pPr>
        <w:pStyle w:val="TableParagraph"/>
        <w:numPr>
          <w:ilvl w:val="0"/>
          <w:numId w:val="8"/>
        </w:numPr>
      </w:pPr>
      <w:r>
        <w:t>Offer more support to community organisations to support them in developing and leading proposals (e.g., appoint local coordinators).</w:t>
      </w:r>
    </w:p>
    <w:p w14:paraId="6DD1625D" w14:textId="77777777" w:rsidR="0090798C" w:rsidRDefault="0090798C" w:rsidP="003F27A3">
      <w:pPr>
        <w:pStyle w:val="TableParagraph"/>
      </w:pPr>
    </w:p>
    <w:p w14:paraId="4A08B7C0" w14:textId="5192139E" w:rsidR="0090798C" w:rsidRPr="003F27A3" w:rsidRDefault="0090798C" w:rsidP="003F27A3">
      <w:pPr>
        <w:pStyle w:val="Heading3"/>
      </w:pPr>
      <w:r w:rsidRPr="003F27A3">
        <w:t xml:space="preserve">Example </w:t>
      </w:r>
      <w:r w:rsidRPr="003F27A3">
        <w:t>2</w:t>
      </w:r>
      <w:r w:rsidRPr="003F27A3">
        <w:t xml:space="preserve">: How the funder team reflected on their </w:t>
      </w:r>
      <w:proofErr w:type="spellStart"/>
      <w:r w:rsidRPr="003F27A3">
        <w:t>programmes</w:t>
      </w:r>
      <w:proofErr w:type="spellEnd"/>
      <w:r w:rsidRPr="003F27A3">
        <w:t xml:space="preserve"> using the Equity Compass – Working with and valuing minoritised communities</w:t>
      </w:r>
      <w:r w:rsidRPr="003F27A3">
        <w:t>.</w:t>
      </w:r>
    </w:p>
    <w:tbl>
      <w:tblPr>
        <w:tblW w:w="9144" w:type="dxa"/>
        <w:tblInd w:w="207" w:type="dxa"/>
        <w:tblLayout w:type="fixed"/>
        <w:tblCellMar>
          <w:top w:w="28" w:type="dxa"/>
          <w:left w:w="28" w:type="dxa"/>
          <w:right w:w="0" w:type="dxa"/>
        </w:tblCellMar>
        <w:tblLook w:val="01E0" w:firstRow="1" w:lastRow="1" w:firstColumn="1" w:lastColumn="1" w:noHBand="0" w:noVBand="0"/>
      </w:tblPr>
      <w:tblGrid>
        <w:gridCol w:w="1584"/>
        <w:gridCol w:w="1606"/>
        <w:gridCol w:w="5954"/>
      </w:tblGrid>
      <w:tr w:rsidR="003F27A3" w:rsidRPr="004A5D5C" w14:paraId="170D9DBA" w14:textId="77777777" w:rsidTr="009D49BE">
        <w:trPr>
          <w:trHeight w:val="616"/>
          <w:tblHeader/>
        </w:trPr>
        <w:tc>
          <w:tcPr>
            <w:tcW w:w="1584" w:type="dxa"/>
            <w:tcBorders>
              <w:top w:val="single" w:sz="4" w:space="0" w:color="auto"/>
              <w:left w:val="single" w:sz="4" w:space="0" w:color="auto"/>
              <w:bottom w:val="single" w:sz="4" w:space="0" w:color="auto"/>
              <w:right w:val="single" w:sz="4" w:space="0" w:color="auto"/>
            </w:tcBorders>
            <w:shd w:val="clear" w:color="auto" w:fill="000000"/>
          </w:tcPr>
          <w:p w14:paraId="56A06F6D" w14:textId="77777777" w:rsidR="003F27A3" w:rsidRPr="004A5D5C" w:rsidRDefault="003F27A3" w:rsidP="003F27A3">
            <w:pPr>
              <w:rPr>
                <w:w w:val="120"/>
              </w:rPr>
            </w:pPr>
            <w:r w:rsidRPr="003D2AAA">
              <w:t>Area</w:t>
            </w:r>
          </w:p>
        </w:tc>
        <w:tc>
          <w:tcPr>
            <w:tcW w:w="1606" w:type="dxa"/>
            <w:tcBorders>
              <w:top w:val="single" w:sz="4" w:space="0" w:color="auto"/>
              <w:left w:val="single" w:sz="4" w:space="0" w:color="auto"/>
              <w:bottom w:val="single" w:sz="4" w:space="0" w:color="auto"/>
              <w:right w:val="single" w:sz="4" w:space="0" w:color="auto"/>
            </w:tcBorders>
            <w:shd w:val="clear" w:color="auto" w:fill="000000"/>
          </w:tcPr>
          <w:p w14:paraId="63DF965E" w14:textId="02A05EA6" w:rsidR="003F27A3" w:rsidRPr="004A5D5C" w:rsidRDefault="003F27A3" w:rsidP="003F27A3">
            <w:r w:rsidRPr="003D2AAA">
              <w:t xml:space="preserve">Equity dimension </w:t>
            </w:r>
          </w:p>
        </w:tc>
        <w:tc>
          <w:tcPr>
            <w:tcW w:w="5954" w:type="dxa"/>
            <w:tcBorders>
              <w:left w:val="single" w:sz="4" w:space="0" w:color="auto"/>
              <w:bottom w:val="single" w:sz="4" w:space="0" w:color="auto"/>
            </w:tcBorders>
            <w:shd w:val="clear" w:color="auto" w:fill="000000"/>
          </w:tcPr>
          <w:p w14:paraId="5A58ADBA" w14:textId="41B9E418" w:rsidR="003F27A3" w:rsidRPr="004A5D5C" w:rsidRDefault="003F27A3" w:rsidP="003F27A3">
            <w:r>
              <w:t>Reflections on current practice</w:t>
            </w:r>
          </w:p>
        </w:tc>
      </w:tr>
      <w:tr w:rsidR="003F27A3" w:rsidRPr="004656BE" w14:paraId="27FAF663" w14:textId="77777777" w:rsidTr="009D49BE">
        <w:trPr>
          <w:trHeight w:val="1927"/>
        </w:trPr>
        <w:tc>
          <w:tcPr>
            <w:tcW w:w="1584" w:type="dxa"/>
            <w:tcBorders>
              <w:top w:val="single" w:sz="4" w:space="0" w:color="auto"/>
              <w:left w:val="single" w:sz="4" w:space="0" w:color="auto"/>
              <w:bottom w:val="single" w:sz="4" w:space="0" w:color="auto"/>
              <w:right w:val="single" w:sz="4" w:space="0" w:color="auto"/>
            </w:tcBorders>
            <w:shd w:val="clear" w:color="auto" w:fill="ABD4E0"/>
          </w:tcPr>
          <w:p w14:paraId="7B9F605A" w14:textId="77777777" w:rsidR="003F27A3" w:rsidRPr="004656BE" w:rsidRDefault="003F27A3" w:rsidP="003F27A3">
            <w:pPr>
              <w:rPr>
                <w:w w:val="130"/>
              </w:rPr>
            </w:pPr>
            <w:r w:rsidRPr="00416242">
              <w:t>Working with and valuing minoritised communities</w:t>
            </w:r>
          </w:p>
        </w:tc>
        <w:tc>
          <w:tcPr>
            <w:tcW w:w="1606" w:type="dxa"/>
            <w:tcBorders>
              <w:top w:val="single" w:sz="4" w:space="0" w:color="auto"/>
              <w:left w:val="single" w:sz="4" w:space="0" w:color="auto"/>
              <w:bottom w:val="single" w:sz="4" w:space="0" w:color="auto"/>
              <w:right w:val="single" w:sz="4" w:space="0" w:color="auto"/>
            </w:tcBorders>
            <w:shd w:val="clear" w:color="auto" w:fill="ABD4E0"/>
          </w:tcPr>
          <w:p w14:paraId="2C404512" w14:textId="77777777" w:rsidR="003F27A3" w:rsidRPr="004656BE" w:rsidRDefault="003F27A3" w:rsidP="003F27A3">
            <w:pPr>
              <w:pStyle w:val="TableParagraph"/>
            </w:pPr>
            <w:r w:rsidRPr="00416242">
              <w:t>Participatory working - with</w:t>
            </w:r>
          </w:p>
        </w:tc>
        <w:tc>
          <w:tcPr>
            <w:tcW w:w="5954" w:type="dxa"/>
            <w:tcBorders>
              <w:top w:val="single" w:sz="4" w:space="0" w:color="auto"/>
              <w:left w:val="single" w:sz="4" w:space="0" w:color="auto"/>
              <w:bottom w:val="single" w:sz="4" w:space="0" w:color="auto"/>
              <w:right w:val="single" w:sz="4" w:space="0" w:color="auto"/>
            </w:tcBorders>
            <w:shd w:val="clear" w:color="auto" w:fill="E8F3F7"/>
          </w:tcPr>
          <w:p w14:paraId="3B1B78ED" w14:textId="2DEB8B1A" w:rsidR="003F27A3" w:rsidRPr="004656BE" w:rsidRDefault="003F27A3" w:rsidP="003F27A3">
            <w:pPr>
              <w:pStyle w:val="TableParagraph"/>
            </w:pPr>
            <w:r>
              <w:t xml:space="preserve">While the funding </w:t>
            </w:r>
            <w:proofErr w:type="spellStart"/>
            <w:r>
              <w:t>programme</w:t>
            </w:r>
            <w:proofErr w:type="spellEnd"/>
            <w:r>
              <w:t xml:space="preserve"> seeks to</w:t>
            </w:r>
            <w:r>
              <w:t xml:space="preserve"> </w:t>
            </w:r>
            <w:r>
              <w:t>support and encourage participatory</w:t>
            </w:r>
            <w:r>
              <w:t xml:space="preserve"> </w:t>
            </w:r>
            <w:r>
              <w:t>working between researchers and</w:t>
            </w:r>
            <w:r>
              <w:t xml:space="preserve"> </w:t>
            </w:r>
            <w:r>
              <w:t>communities, on reflection, the design</w:t>
            </w:r>
            <w:r>
              <w:t xml:space="preserve"> </w:t>
            </w:r>
            <w:r>
              <w:t xml:space="preserve">and management of the </w:t>
            </w:r>
            <w:proofErr w:type="spellStart"/>
            <w:r>
              <w:t>programme</w:t>
            </w:r>
            <w:proofErr w:type="spellEnd"/>
            <w:r>
              <w:t xml:space="preserve"> was</w:t>
            </w:r>
            <w:r>
              <w:t xml:space="preserve"> </w:t>
            </w:r>
            <w:r>
              <w:t>not as participatory as it could be. The</w:t>
            </w:r>
            <w:r>
              <w:t xml:space="preserve"> </w:t>
            </w:r>
            <w:proofErr w:type="spellStart"/>
            <w:r>
              <w:t>programme</w:t>
            </w:r>
            <w:proofErr w:type="spellEnd"/>
            <w:r>
              <w:t xml:space="preserve"> had been designed by our</w:t>
            </w:r>
            <w:r>
              <w:t xml:space="preserve"> </w:t>
            </w:r>
            <w:r>
              <w:t>own staff team with little input from</w:t>
            </w:r>
            <w:r>
              <w:t xml:space="preserve"> </w:t>
            </w:r>
            <w:r>
              <w:t xml:space="preserve">minoritised communities. The </w:t>
            </w:r>
            <w:proofErr w:type="spellStart"/>
            <w:r>
              <w:t>programme’s</w:t>
            </w:r>
            <w:proofErr w:type="spellEnd"/>
            <w:r>
              <w:t xml:space="preserve"> </w:t>
            </w:r>
            <w:r>
              <w:t>thematic priorities were driven by research</w:t>
            </w:r>
            <w:r>
              <w:t xml:space="preserve"> </w:t>
            </w:r>
            <w:r>
              <w:t>evidence and by experts drawn from</w:t>
            </w:r>
            <w:r>
              <w:t xml:space="preserve"> </w:t>
            </w:r>
            <w:r>
              <w:t>relatively privileged communities.</w:t>
            </w:r>
          </w:p>
        </w:tc>
      </w:tr>
      <w:tr w:rsidR="003F27A3" w:rsidRPr="004656BE" w14:paraId="75023304" w14:textId="77777777" w:rsidTr="009D49BE">
        <w:trPr>
          <w:trHeight w:val="96"/>
        </w:trPr>
        <w:tc>
          <w:tcPr>
            <w:tcW w:w="1584" w:type="dxa"/>
            <w:tcBorders>
              <w:top w:val="single" w:sz="4" w:space="0" w:color="auto"/>
              <w:left w:val="single" w:sz="4" w:space="0" w:color="auto"/>
              <w:bottom w:val="single" w:sz="4" w:space="0" w:color="auto"/>
              <w:right w:val="single" w:sz="4" w:space="0" w:color="auto"/>
            </w:tcBorders>
            <w:shd w:val="clear" w:color="auto" w:fill="ABD4E0"/>
          </w:tcPr>
          <w:p w14:paraId="61CB0915" w14:textId="77777777" w:rsidR="003F27A3" w:rsidRDefault="003F27A3" w:rsidP="003F27A3">
            <w:pPr>
              <w:pStyle w:val="TableParagraph"/>
            </w:pPr>
            <w:r w:rsidRPr="00416242">
              <w:lastRenderedPageBreak/>
              <w:t>Working with and valuing minoritised communities</w:t>
            </w:r>
          </w:p>
          <w:p w14:paraId="452851A8" w14:textId="77777777" w:rsidR="003F27A3" w:rsidRPr="004656BE" w:rsidRDefault="003F27A3" w:rsidP="003F27A3">
            <w:pPr>
              <w:rPr>
                <w:w w:val="120"/>
              </w:rPr>
            </w:pPr>
          </w:p>
        </w:tc>
        <w:tc>
          <w:tcPr>
            <w:tcW w:w="1606" w:type="dxa"/>
            <w:tcBorders>
              <w:top w:val="single" w:sz="4" w:space="0" w:color="auto"/>
              <w:left w:val="single" w:sz="4" w:space="0" w:color="auto"/>
              <w:bottom w:val="single" w:sz="4" w:space="0" w:color="auto"/>
              <w:right w:val="single" w:sz="4" w:space="0" w:color="auto"/>
            </w:tcBorders>
            <w:shd w:val="clear" w:color="auto" w:fill="ABD4E0"/>
          </w:tcPr>
          <w:p w14:paraId="36D16A81" w14:textId="77777777" w:rsidR="003F27A3" w:rsidRPr="004656BE" w:rsidRDefault="003F27A3" w:rsidP="003F27A3">
            <w:r w:rsidRPr="00416242">
              <w:t>Asset-based approach</w:t>
            </w:r>
          </w:p>
        </w:tc>
        <w:tc>
          <w:tcPr>
            <w:tcW w:w="5954" w:type="dxa"/>
            <w:tcBorders>
              <w:top w:val="single" w:sz="4" w:space="0" w:color="auto"/>
              <w:left w:val="single" w:sz="4" w:space="0" w:color="auto"/>
              <w:bottom w:val="single" w:sz="4" w:space="0" w:color="auto"/>
              <w:right w:val="single" w:sz="4" w:space="0" w:color="auto"/>
            </w:tcBorders>
            <w:shd w:val="clear" w:color="auto" w:fill="E8F3F7"/>
          </w:tcPr>
          <w:p w14:paraId="3DC977B5" w14:textId="7FD4ABDC" w:rsidR="003F27A3" w:rsidRPr="004656BE" w:rsidRDefault="003F27A3" w:rsidP="003F27A3">
            <w:pPr>
              <w:pStyle w:val="TableParagraph"/>
            </w:pPr>
            <w:r>
              <w:t>There was little opportunity for</w:t>
            </w:r>
            <w:r>
              <w:t xml:space="preserve"> </w:t>
            </w:r>
            <w:r>
              <w:t>community organisations to share</w:t>
            </w:r>
            <w:r>
              <w:t xml:space="preserve"> </w:t>
            </w:r>
            <w:r>
              <w:t>their knowledge and experience, and</w:t>
            </w:r>
            <w:r>
              <w:t xml:space="preserve"> </w:t>
            </w:r>
            <w:r>
              <w:t>have meaningful input into the funding</w:t>
            </w:r>
            <w:r>
              <w:t xml:space="preserve"> </w:t>
            </w:r>
            <w:proofErr w:type="spellStart"/>
            <w:r>
              <w:t>programme</w:t>
            </w:r>
            <w:proofErr w:type="spellEnd"/>
            <w:r>
              <w:t>. Further, the framing of</w:t>
            </w:r>
            <w:r>
              <w:t xml:space="preserve"> </w:t>
            </w:r>
            <w:r>
              <w:t xml:space="preserve">the funding </w:t>
            </w:r>
            <w:proofErr w:type="spellStart"/>
            <w:r>
              <w:t>programme</w:t>
            </w:r>
            <w:proofErr w:type="spellEnd"/>
            <w:r>
              <w:t xml:space="preserve"> positioned the</w:t>
            </w:r>
            <w:r>
              <w:t xml:space="preserve"> </w:t>
            </w:r>
            <w:r>
              <w:t>communities as “lacking” appropriate</w:t>
            </w:r>
            <w:r>
              <w:t xml:space="preserve"> </w:t>
            </w:r>
            <w:r>
              <w:t>knowledge and skills.</w:t>
            </w:r>
          </w:p>
        </w:tc>
      </w:tr>
    </w:tbl>
    <w:p w14:paraId="7A59C51F" w14:textId="77777777" w:rsidR="003F27A3" w:rsidRDefault="003F27A3" w:rsidP="003F27A3">
      <w:pPr>
        <w:pStyle w:val="TableParagraph"/>
      </w:pPr>
    </w:p>
    <w:p w14:paraId="444F3A9E" w14:textId="77777777" w:rsidR="003F27A3" w:rsidRDefault="003F27A3" w:rsidP="003F27A3">
      <w:r>
        <w:t>Plans for development:</w:t>
      </w:r>
      <w:r w:rsidRPr="003F27A3">
        <w:t xml:space="preserve"> </w:t>
      </w:r>
    </w:p>
    <w:p w14:paraId="7CC44A8E" w14:textId="27787C4C" w:rsidR="003F27A3" w:rsidRDefault="003F27A3" w:rsidP="003F27A3">
      <w:pPr>
        <w:pStyle w:val="ListParagraph"/>
        <w:numPr>
          <w:ilvl w:val="0"/>
          <w:numId w:val="9"/>
        </w:numPr>
      </w:pPr>
      <w:r>
        <w:t>Explore and adopt</w:t>
      </w:r>
      <w:r>
        <w:t xml:space="preserve"> </w:t>
      </w:r>
      <w:r>
        <w:t>more participatory</w:t>
      </w:r>
      <w:r>
        <w:t xml:space="preserve"> </w:t>
      </w:r>
      <w:r>
        <w:t>ways of working within</w:t>
      </w:r>
      <w:r>
        <w:t xml:space="preserve"> </w:t>
      </w:r>
      <w:r>
        <w:t>grant planning and</w:t>
      </w:r>
      <w:r>
        <w:t xml:space="preserve"> </w:t>
      </w:r>
      <w:r>
        <w:t>management (to be</w:t>
      </w:r>
    </w:p>
    <w:p w14:paraId="3AA4F73C" w14:textId="77777777" w:rsidR="003F27A3" w:rsidRDefault="003F27A3" w:rsidP="003F27A3">
      <w:pPr>
        <w:pStyle w:val="ListParagraph"/>
        <w:numPr>
          <w:ilvl w:val="0"/>
          <w:numId w:val="9"/>
        </w:numPr>
      </w:pPr>
      <w:r>
        <w:t>driven and informed</w:t>
      </w:r>
      <w:r>
        <w:t xml:space="preserve"> </w:t>
      </w:r>
      <w:r>
        <w:t>by the expertise and</w:t>
      </w:r>
      <w:r>
        <w:t xml:space="preserve"> </w:t>
      </w:r>
      <w:r>
        <w:t>needs of minoritised</w:t>
      </w:r>
      <w:r>
        <w:t xml:space="preserve"> </w:t>
      </w:r>
      <w:r>
        <w:t>communities).</w:t>
      </w:r>
    </w:p>
    <w:p w14:paraId="116EA951" w14:textId="77777777" w:rsidR="003F27A3" w:rsidRDefault="003F27A3" w:rsidP="003F27A3">
      <w:pPr>
        <w:pStyle w:val="ListParagraph"/>
        <w:numPr>
          <w:ilvl w:val="0"/>
          <w:numId w:val="9"/>
        </w:numPr>
      </w:pPr>
      <w:r>
        <w:t>Work with community</w:t>
      </w:r>
      <w:r>
        <w:t xml:space="preserve"> </w:t>
      </w:r>
      <w:r>
        <w:t>representatives to help</w:t>
      </w:r>
      <w:r>
        <w:t xml:space="preserve"> </w:t>
      </w:r>
      <w:r>
        <w:t>develop future funding</w:t>
      </w:r>
      <w:r>
        <w:t xml:space="preserve"> </w:t>
      </w:r>
      <w:r>
        <w:t>calls.</w:t>
      </w:r>
    </w:p>
    <w:p w14:paraId="60EC3650" w14:textId="26046748" w:rsidR="003F27A3" w:rsidRDefault="003F27A3" w:rsidP="003F27A3">
      <w:pPr>
        <w:pStyle w:val="ListParagraph"/>
        <w:numPr>
          <w:ilvl w:val="0"/>
          <w:numId w:val="9"/>
        </w:numPr>
      </w:pPr>
      <w:r>
        <w:t>Review who is on the</w:t>
      </w:r>
      <w:r>
        <w:t xml:space="preserve"> </w:t>
      </w:r>
      <w:r>
        <w:t>grant review panel,</w:t>
      </w:r>
      <w:r>
        <w:t xml:space="preserve"> </w:t>
      </w:r>
      <w:r>
        <w:t>include representatives</w:t>
      </w:r>
      <w:r>
        <w:t xml:space="preserve"> </w:t>
      </w:r>
      <w:r>
        <w:t>from community</w:t>
      </w:r>
      <w:r>
        <w:t xml:space="preserve"> </w:t>
      </w:r>
      <w:r>
        <w:t>organisations.</w:t>
      </w:r>
    </w:p>
    <w:p w14:paraId="7754EBB7" w14:textId="77777777" w:rsidR="009D49BE" w:rsidRDefault="009D49BE">
      <w:pPr>
        <w:spacing w:after="0"/>
        <w:rPr>
          <w:rFonts w:eastAsia="Arial"/>
          <w:b/>
          <w:bCs/>
          <w:color w:val="006885"/>
          <w:w w:val="95"/>
          <w:sz w:val="28"/>
          <w:szCs w:val="28"/>
        </w:rPr>
      </w:pPr>
      <w:r>
        <w:br w:type="page"/>
      </w:r>
    </w:p>
    <w:p w14:paraId="046DC00A" w14:textId="1071C310" w:rsidR="00AA429F" w:rsidRPr="00AA429F" w:rsidRDefault="00AA429F" w:rsidP="003F27A3">
      <w:pPr>
        <w:pStyle w:val="Heading2"/>
      </w:pPr>
      <w:r w:rsidRPr="00AA429F">
        <w:lastRenderedPageBreak/>
        <w:t xml:space="preserve">About the YESTEM project  </w:t>
      </w:r>
    </w:p>
    <w:p w14:paraId="58BE6EDF" w14:textId="77777777" w:rsidR="003F27A3" w:rsidRDefault="00710FEC" w:rsidP="003F27A3">
      <w:pPr>
        <w:pStyle w:val="ListParagraph"/>
        <w:numPr>
          <w:ilvl w:val="0"/>
          <w:numId w:val="12"/>
        </w:numPr>
      </w:pPr>
      <w:r w:rsidRPr="003F27A3">
        <w:rPr>
          <w:spacing w:val="-1"/>
        </w:rPr>
        <w:t>Over</w:t>
      </w:r>
      <w:r w:rsidRPr="003F27A3">
        <w:rPr>
          <w:spacing w:val="-14"/>
        </w:rPr>
        <w:t xml:space="preserve"> </w:t>
      </w:r>
      <w:r w:rsidRPr="003F27A3">
        <w:rPr>
          <w:spacing w:val="-1"/>
        </w:rPr>
        <w:t>four</w:t>
      </w:r>
      <w:r w:rsidRPr="003F27A3">
        <w:rPr>
          <w:spacing w:val="-14"/>
        </w:rPr>
        <w:t xml:space="preserve"> </w:t>
      </w:r>
      <w:r w:rsidRPr="003F27A3">
        <w:rPr>
          <w:spacing w:val="-1"/>
        </w:rPr>
        <w:t>years,</w:t>
      </w:r>
      <w:r w:rsidRPr="003F27A3">
        <w:rPr>
          <w:spacing w:val="-13"/>
        </w:rPr>
        <w:t xml:space="preserve"> </w:t>
      </w:r>
      <w:r w:rsidRPr="003F27A3">
        <w:rPr>
          <w:spacing w:val="-1"/>
        </w:rPr>
        <w:t>our</w:t>
      </w:r>
      <w:r w:rsidRPr="003F27A3">
        <w:rPr>
          <w:spacing w:val="-14"/>
        </w:rPr>
        <w:t xml:space="preserve"> </w:t>
      </w:r>
      <w:r w:rsidRPr="003F27A3">
        <w:rPr>
          <w:spacing w:val="-1"/>
        </w:rPr>
        <w:t>project</w:t>
      </w:r>
      <w:r w:rsidRPr="003F27A3">
        <w:rPr>
          <w:spacing w:val="-14"/>
        </w:rPr>
        <w:t xml:space="preserve"> </w:t>
      </w:r>
      <w:r w:rsidRPr="003F27A3">
        <w:rPr>
          <w:spacing w:val="-1"/>
        </w:rPr>
        <w:t>involved</w:t>
      </w:r>
      <w:r w:rsidRPr="003F27A3">
        <w:rPr>
          <w:spacing w:val="-13"/>
        </w:rPr>
        <w:t xml:space="preserve"> </w:t>
      </w:r>
      <w:r w:rsidRPr="003F27A3">
        <w:rPr>
          <w:spacing w:val="-1"/>
        </w:rPr>
        <w:t>researchers,</w:t>
      </w:r>
      <w:r w:rsidRPr="008670E0">
        <w:t xml:space="preserve"> ISL educators and young people working in</w:t>
      </w:r>
      <w:r w:rsidRPr="003F27A3">
        <w:rPr>
          <w:spacing w:val="1"/>
        </w:rPr>
        <w:t xml:space="preserve"> </w:t>
      </w:r>
      <w:r w:rsidRPr="008670E0">
        <w:t>partnership to develop new understandings and</w:t>
      </w:r>
      <w:r w:rsidRPr="003F27A3">
        <w:rPr>
          <w:spacing w:val="1"/>
        </w:rPr>
        <w:t xml:space="preserve"> </w:t>
      </w:r>
      <w:r w:rsidRPr="008670E0">
        <w:t>insights about how ISL might better support</w:t>
      </w:r>
      <w:r w:rsidRPr="003F27A3">
        <w:rPr>
          <w:spacing w:val="1"/>
        </w:rPr>
        <w:t xml:space="preserve"> </w:t>
      </w:r>
      <w:r w:rsidRPr="008670E0">
        <w:t>equitable</w:t>
      </w:r>
      <w:r w:rsidRPr="003F27A3">
        <w:rPr>
          <w:spacing w:val="-9"/>
        </w:rPr>
        <w:t xml:space="preserve"> </w:t>
      </w:r>
      <w:r w:rsidRPr="008670E0">
        <w:t>outcomes</w:t>
      </w:r>
      <w:r w:rsidRPr="003F27A3">
        <w:rPr>
          <w:spacing w:val="-8"/>
        </w:rPr>
        <w:t xml:space="preserve"> </w:t>
      </w:r>
      <w:r w:rsidRPr="008670E0">
        <w:t>for</w:t>
      </w:r>
      <w:r w:rsidRPr="003F27A3">
        <w:rPr>
          <w:spacing w:val="-9"/>
        </w:rPr>
        <w:t xml:space="preserve"> </w:t>
      </w:r>
      <w:r w:rsidRPr="008670E0">
        <w:t>young</w:t>
      </w:r>
      <w:r w:rsidRPr="003F27A3">
        <w:rPr>
          <w:spacing w:val="-8"/>
        </w:rPr>
        <w:t xml:space="preserve"> </w:t>
      </w:r>
      <w:r w:rsidRPr="008670E0">
        <w:t>people</w:t>
      </w:r>
      <w:r w:rsidRPr="003F27A3">
        <w:rPr>
          <w:spacing w:val="-9"/>
        </w:rPr>
        <w:t xml:space="preserve"> </w:t>
      </w:r>
      <w:r w:rsidRPr="008670E0">
        <w:t>aged</w:t>
      </w:r>
      <w:r w:rsidRPr="003F27A3">
        <w:rPr>
          <w:spacing w:val="-8"/>
        </w:rPr>
        <w:t xml:space="preserve"> </w:t>
      </w:r>
      <w:r w:rsidRPr="008670E0">
        <w:t>11-14</w:t>
      </w:r>
      <w:r w:rsidRPr="003F27A3">
        <w:rPr>
          <w:spacing w:val="-58"/>
        </w:rPr>
        <w:t xml:space="preserve"> </w:t>
      </w:r>
      <w:r w:rsidRPr="008670E0">
        <w:t>from</w:t>
      </w:r>
      <w:r w:rsidRPr="003F27A3">
        <w:rPr>
          <w:spacing w:val="-6"/>
        </w:rPr>
        <w:t xml:space="preserve"> </w:t>
      </w:r>
      <w:r w:rsidRPr="008670E0">
        <w:t>minoritized</w:t>
      </w:r>
      <w:r w:rsidRPr="003F27A3">
        <w:rPr>
          <w:spacing w:val="-6"/>
        </w:rPr>
        <w:t xml:space="preserve"> </w:t>
      </w:r>
      <w:r w:rsidRPr="008670E0">
        <w:t>communities.</w:t>
      </w:r>
    </w:p>
    <w:p w14:paraId="5199ACAA" w14:textId="77777777" w:rsidR="003F27A3" w:rsidRDefault="00710FEC" w:rsidP="003F27A3">
      <w:pPr>
        <w:pStyle w:val="ListParagraph"/>
        <w:numPr>
          <w:ilvl w:val="0"/>
          <w:numId w:val="12"/>
        </w:numPr>
      </w:pPr>
      <w:r w:rsidRPr="008670E0">
        <w:t>Our</w:t>
      </w:r>
      <w:r w:rsidRPr="003F27A3">
        <w:rPr>
          <w:spacing w:val="-12"/>
        </w:rPr>
        <w:t xml:space="preserve"> </w:t>
      </w:r>
      <w:r w:rsidRPr="008670E0">
        <w:t>project</w:t>
      </w:r>
      <w:r w:rsidRPr="003F27A3">
        <w:rPr>
          <w:spacing w:val="-11"/>
        </w:rPr>
        <w:t xml:space="preserve"> </w:t>
      </w:r>
      <w:r w:rsidRPr="008670E0">
        <w:t>partnership</w:t>
      </w:r>
      <w:r w:rsidRPr="003F27A3">
        <w:rPr>
          <w:spacing w:val="-11"/>
        </w:rPr>
        <w:t xml:space="preserve"> </w:t>
      </w:r>
      <w:r w:rsidRPr="008670E0">
        <w:t>involved</w:t>
      </w:r>
      <w:r w:rsidRPr="003F27A3">
        <w:rPr>
          <w:spacing w:val="-11"/>
        </w:rPr>
        <w:t xml:space="preserve"> </w:t>
      </w:r>
      <w:r w:rsidRPr="008670E0">
        <w:t>data</w:t>
      </w:r>
      <w:r w:rsidRPr="003F27A3">
        <w:rPr>
          <w:spacing w:val="-11"/>
        </w:rPr>
        <w:t xml:space="preserve"> </w:t>
      </w:r>
      <w:r w:rsidRPr="008670E0">
        <w:t>collection</w:t>
      </w:r>
      <w:r w:rsidRPr="003F27A3">
        <w:rPr>
          <w:spacing w:val="-11"/>
        </w:rPr>
        <w:t xml:space="preserve"> </w:t>
      </w:r>
      <w:r w:rsidRPr="008670E0">
        <w:t>in</w:t>
      </w:r>
      <w:r w:rsidRPr="003F27A3">
        <w:rPr>
          <w:spacing w:val="-59"/>
        </w:rPr>
        <w:t xml:space="preserve"> </w:t>
      </w:r>
      <w:r w:rsidRPr="008670E0">
        <w:t>the UK and the USA with partners in two science</w:t>
      </w:r>
      <w:r w:rsidR="007435C8" w:rsidRPr="003F27A3">
        <w:rPr>
          <w:spacing w:val="-59"/>
        </w:rPr>
        <w:t xml:space="preserve"> </w:t>
      </w:r>
      <w:r w:rsidR="00F24DDE" w:rsidRPr="003F27A3">
        <w:rPr>
          <w:spacing w:val="-59"/>
        </w:rPr>
        <w:t xml:space="preserve">  </w:t>
      </w:r>
      <w:r w:rsidR="00F24DDE">
        <w:t xml:space="preserve"> </w:t>
      </w:r>
      <w:proofErr w:type="spellStart"/>
      <w:r w:rsidR="00F24DDE">
        <w:t>c</w:t>
      </w:r>
      <w:r w:rsidRPr="008670E0">
        <w:t>entres</w:t>
      </w:r>
      <w:proofErr w:type="spellEnd"/>
      <w:r w:rsidRPr="008670E0">
        <w:t>,</w:t>
      </w:r>
      <w:r w:rsidRPr="003F27A3">
        <w:rPr>
          <w:spacing w:val="2"/>
        </w:rPr>
        <w:t xml:space="preserve"> </w:t>
      </w:r>
      <w:r w:rsidRPr="008670E0">
        <w:t>two</w:t>
      </w:r>
      <w:r w:rsidRPr="003F27A3">
        <w:rPr>
          <w:spacing w:val="3"/>
        </w:rPr>
        <w:t xml:space="preserve"> </w:t>
      </w:r>
      <w:r w:rsidRPr="008670E0">
        <w:t>community</w:t>
      </w:r>
      <w:r w:rsidRPr="003F27A3">
        <w:rPr>
          <w:spacing w:val="3"/>
        </w:rPr>
        <w:t xml:space="preserve"> </w:t>
      </w:r>
      <w:r w:rsidRPr="008670E0">
        <w:t>STEM</w:t>
      </w:r>
      <w:r w:rsidRPr="003F27A3">
        <w:rPr>
          <w:spacing w:val="3"/>
        </w:rPr>
        <w:t xml:space="preserve"> </w:t>
      </w:r>
      <w:r w:rsidRPr="008670E0">
        <w:t>clubs,</w:t>
      </w:r>
      <w:r w:rsidRPr="003F27A3">
        <w:rPr>
          <w:spacing w:val="3"/>
        </w:rPr>
        <w:t xml:space="preserve"> </w:t>
      </w:r>
      <w:r w:rsidRPr="008670E0">
        <w:t>a</w:t>
      </w:r>
      <w:r w:rsidRPr="003F27A3">
        <w:rPr>
          <w:spacing w:val="3"/>
        </w:rPr>
        <w:t xml:space="preserve"> </w:t>
      </w:r>
      <w:r w:rsidRPr="008670E0">
        <w:t>zoo</w:t>
      </w:r>
      <w:r w:rsidRPr="003F27A3">
        <w:rPr>
          <w:spacing w:val="3"/>
        </w:rPr>
        <w:t xml:space="preserve"> </w:t>
      </w:r>
      <w:r w:rsidRPr="008670E0">
        <w:t>and</w:t>
      </w:r>
      <w:r w:rsidRPr="003F27A3">
        <w:rPr>
          <w:spacing w:val="1"/>
        </w:rPr>
        <w:t xml:space="preserve"> </w:t>
      </w:r>
      <w:r w:rsidRPr="008670E0">
        <w:t>a</w:t>
      </w:r>
      <w:r w:rsidRPr="003F27A3">
        <w:rPr>
          <w:spacing w:val="-6"/>
        </w:rPr>
        <w:t xml:space="preserve"> </w:t>
      </w:r>
      <w:r w:rsidRPr="008670E0">
        <w:t>digital</w:t>
      </w:r>
      <w:r w:rsidRPr="003F27A3">
        <w:rPr>
          <w:spacing w:val="-6"/>
        </w:rPr>
        <w:t xml:space="preserve"> </w:t>
      </w:r>
      <w:r w:rsidRPr="008670E0">
        <w:t>arts</w:t>
      </w:r>
      <w:r w:rsidRPr="003F27A3">
        <w:rPr>
          <w:spacing w:val="-5"/>
        </w:rPr>
        <w:t xml:space="preserve"> </w:t>
      </w:r>
      <w:proofErr w:type="spellStart"/>
      <w:r w:rsidRPr="008670E0">
        <w:t>centre</w:t>
      </w:r>
      <w:proofErr w:type="spellEnd"/>
      <w:r w:rsidRPr="008670E0">
        <w:t>.</w:t>
      </w:r>
    </w:p>
    <w:p w14:paraId="5B1FDE80" w14:textId="77777777" w:rsidR="003F27A3" w:rsidRDefault="00710FEC" w:rsidP="003F27A3">
      <w:pPr>
        <w:pStyle w:val="ListParagraph"/>
        <w:numPr>
          <w:ilvl w:val="0"/>
          <w:numId w:val="12"/>
        </w:numPr>
      </w:pPr>
      <w:r w:rsidRPr="008670E0">
        <w:t>Overall,</w:t>
      </w:r>
      <w:r w:rsidRPr="003F27A3">
        <w:rPr>
          <w:spacing w:val="-15"/>
        </w:rPr>
        <w:t xml:space="preserve"> </w:t>
      </w:r>
      <w:r w:rsidRPr="008670E0">
        <w:t>260</w:t>
      </w:r>
      <w:r w:rsidRPr="003F27A3">
        <w:rPr>
          <w:spacing w:val="-14"/>
        </w:rPr>
        <w:t xml:space="preserve"> </w:t>
      </w:r>
      <w:r w:rsidRPr="008670E0">
        <w:t>young</w:t>
      </w:r>
      <w:r w:rsidRPr="003F27A3">
        <w:rPr>
          <w:spacing w:val="-15"/>
        </w:rPr>
        <w:t xml:space="preserve"> </w:t>
      </w:r>
      <w:r w:rsidRPr="008670E0">
        <w:t>people</w:t>
      </w:r>
      <w:r w:rsidRPr="003F27A3">
        <w:rPr>
          <w:spacing w:val="-14"/>
        </w:rPr>
        <w:t xml:space="preserve"> </w:t>
      </w:r>
      <w:r w:rsidRPr="008670E0">
        <w:t>and</w:t>
      </w:r>
      <w:r w:rsidRPr="003F27A3">
        <w:rPr>
          <w:spacing w:val="-15"/>
        </w:rPr>
        <w:t xml:space="preserve"> </w:t>
      </w:r>
      <w:r w:rsidRPr="008670E0">
        <w:t>30</w:t>
      </w:r>
      <w:r w:rsidRPr="003F27A3">
        <w:rPr>
          <w:spacing w:val="-14"/>
        </w:rPr>
        <w:t xml:space="preserve"> </w:t>
      </w:r>
      <w:r w:rsidRPr="008670E0">
        <w:t>practitioners</w:t>
      </w:r>
      <w:r w:rsidRPr="003F27A3">
        <w:rPr>
          <w:spacing w:val="-58"/>
        </w:rPr>
        <w:t xml:space="preserve"> </w:t>
      </w:r>
      <w:r w:rsidRPr="008670E0">
        <w:t>took</w:t>
      </w:r>
      <w:r w:rsidRPr="003F27A3">
        <w:rPr>
          <w:spacing w:val="-5"/>
        </w:rPr>
        <w:t xml:space="preserve"> </w:t>
      </w:r>
      <w:r w:rsidRPr="008670E0">
        <w:t>part.</w:t>
      </w:r>
    </w:p>
    <w:p w14:paraId="30DDC8C3" w14:textId="1279863F" w:rsidR="003D2AAA" w:rsidRPr="003F27A3" w:rsidRDefault="00710FEC" w:rsidP="003F27A3">
      <w:pPr>
        <w:pStyle w:val="ListParagraph"/>
        <w:numPr>
          <w:ilvl w:val="0"/>
          <w:numId w:val="12"/>
        </w:numPr>
      </w:pPr>
      <w:r w:rsidRPr="008670E0">
        <w:t>In</w:t>
      </w:r>
      <w:r w:rsidRPr="003F27A3">
        <w:rPr>
          <w:spacing w:val="-9"/>
        </w:rPr>
        <w:t xml:space="preserve"> </w:t>
      </w:r>
      <w:r w:rsidRPr="008670E0">
        <w:t>the</w:t>
      </w:r>
      <w:r w:rsidRPr="003F27A3">
        <w:rPr>
          <w:spacing w:val="-8"/>
        </w:rPr>
        <w:t xml:space="preserve"> </w:t>
      </w:r>
      <w:r w:rsidRPr="008670E0">
        <w:t>wider</w:t>
      </w:r>
      <w:r w:rsidRPr="003F27A3">
        <w:rPr>
          <w:spacing w:val="-8"/>
        </w:rPr>
        <w:t xml:space="preserve"> </w:t>
      </w:r>
      <w:r w:rsidRPr="008670E0">
        <w:t>project</w:t>
      </w:r>
      <w:r w:rsidRPr="003F27A3">
        <w:rPr>
          <w:spacing w:val="-9"/>
        </w:rPr>
        <w:t xml:space="preserve"> </w:t>
      </w:r>
      <w:r w:rsidRPr="008670E0">
        <w:t>we</w:t>
      </w:r>
      <w:r w:rsidRPr="003F27A3">
        <w:rPr>
          <w:spacing w:val="-8"/>
        </w:rPr>
        <w:t xml:space="preserve"> </w:t>
      </w:r>
      <w:r w:rsidRPr="008670E0">
        <w:t>also</w:t>
      </w:r>
      <w:r w:rsidRPr="003F27A3">
        <w:rPr>
          <w:spacing w:val="-8"/>
        </w:rPr>
        <w:t xml:space="preserve"> </w:t>
      </w:r>
      <w:r w:rsidRPr="008670E0">
        <w:t>conducted</w:t>
      </w:r>
      <w:r w:rsidRPr="003F27A3">
        <w:rPr>
          <w:spacing w:val="-8"/>
        </w:rPr>
        <w:t xml:space="preserve"> </w:t>
      </w:r>
      <w:r w:rsidRPr="008670E0">
        <w:t>surveys</w:t>
      </w:r>
      <w:r w:rsidRPr="003F27A3">
        <w:rPr>
          <w:spacing w:val="-58"/>
        </w:rPr>
        <w:t xml:space="preserve"> </w:t>
      </w:r>
      <w:r w:rsidRPr="008670E0">
        <w:t>with 2,783 young people (1,873 in the UK and</w:t>
      </w:r>
      <w:r w:rsidRPr="003F27A3">
        <w:rPr>
          <w:spacing w:val="1"/>
        </w:rPr>
        <w:t xml:space="preserve"> </w:t>
      </w:r>
      <w:r w:rsidRPr="008670E0">
        <w:t>910</w:t>
      </w:r>
      <w:r w:rsidRPr="003F27A3">
        <w:rPr>
          <w:spacing w:val="-6"/>
        </w:rPr>
        <w:t xml:space="preserve"> </w:t>
      </w:r>
      <w:r w:rsidRPr="008670E0">
        <w:t>in</w:t>
      </w:r>
      <w:r w:rsidRPr="003F27A3">
        <w:rPr>
          <w:spacing w:val="-6"/>
        </w:rPr>
        <w:t xml:space="preserve"> </w:t>
      </w:r>
      <w:r w:rsidRPr="008670E0">
        <w:t>the</w:t>
      </w:r>
      <w:r w:rsidRPr="003F27A3">
        <w:rPr>
          <w:spacing w:val="-6"/>
        </w:rPr>
        <w:t xml:space="preserve"> </w:t>
      </w:r>
      <w:r w:rsidRPr="008670E0">
        <w:t>US).</w:t>
      </w:r>
    </w:p>
    <w:p w14:paraId="2FE457E6" w14:textId="21B827DB" w:rsidR="00AA429F" w:rsidRPr="00AA429F" w:rsidRDefault="00AA429F" w:rsidP="003F27A3">
      <w:pPr>
        <w:pStyle w:val="Heading2"/>
        <w:rPr>
          <w:color w:val="A84A96"/>
        </w:rPr>
      </w:pPr>
      <w:r w:rsidRPr="00AA429F">
        <w:t xml:space="preserve">Additional resources  </w:t>
      </w:r>
    </w:p>
    <w:p w14:paraId="7C010DC2" w14:textId="2F2754EA" w:rsidR="003F27A3" w:rsidRDefault="003F27A3" w:rsidP="003F27A3">
      <w:pPr>
        <w:pStyle w:val="ListParagraph"/>
        <w:numPr>
          <w:ilvl w:val="0"/>
          <w:numId w:val="13"/>
        </w:numPr>
      </w:pPr>
      <w:r>
        <w:t xml:space="preserve">See </w:t>
      </w:r>
      <w:hyperlink r:id="rId12" w:history="1">
        <w:r w:rsidRPr="003F27A3">
          <w:rPr>
            <w:rStyle w:val="Hyperlink"/>
          </w:rPr>
          <w:t>YESTEM Insight 1: The Equity Compass: A Tool for supporting socially just practice</w:t>
        </w:r>
      </w:hyperlink>
      <w:r>
        <w:t>.</w:t>
      </w:r>
    </w:p>
    <w:p w14:paraId="0D655119" w14:textId="5DEC0251" w:rsidR="003F27A3" w:rsidRDefault="003F27A3" w:rsidP="003F27A3">
      <w:pPr>
        <w:pStyle w:val="ListParagraph"/>
        <w:numPr>
          <w:ilvl w:val="0"/>
          <w:numId w:val="13"/>
        </w:numPr>
      </w:pPr>
      <w:r>
        <w:t xml:space="preserve">Click here to see a </w:t>
      </w:r>
      <w:hyperlink r:id="rId13" w:history="1">
        <w:r w:rsidRPr="003F27A3">
          <w:rPr>
            <w:rStyle w:val="Hyperlink"/>
          </w:rPr>
          <w:t>2-minute animation explaining the Equity Compass</w:t>
        </w:r>
      </w:hyperlink>
      <w:r>
        <w:t>.</w:t>
      </w:r>
    </w:p>
    <w:p w14:paraId="247B6F5B" w14:textId="30F13785" w:rsidR="003F27A3" w:rsidRDefault="003F27A3" w:rsidP="003F27A3">
      <w:pPr>
        <w:pStyle w:val="ListParagraph"/>
        <w:numPr>
          <w:ilvl w:val="0"/>
          <w:numId w:val="13"/>
        </w:numPr>
      </w:pPr>
      <w:r>
        <w:t xml:space="preserve">Join the </w:t>
      </w:r>
      <w:hyperlink r:id="rId14" w:history="1">
        <w:r w:rsidRPr="003F27A3">
          <w:rPr>
            <w:rStyle w:val="Hyperlink"/>
          </w:rPr>
          <w:t>free, self-paced, online learning course Equity in Informal STEM Learning: Using the Equity Compass</w:t>
        </w:r>
      </w:hyperlink>
      <w:r>
        <w:t xml:space="preserve"> </w:t>
      </w:r>
    </w:p>
    <w:p w14:paraId="78F0FDC6" w14:textId="77777777" w:rsidR="003F27A3" w:rsidRDefault="003F27A3" w:rsidP="003F27A3"/>
    <w:p w14:paraId="4A7E9E16" w14:textId="2E6BCF00" w:rsidR="000929F5" w:rsidRDefault="000929F5" w:rsidP="003F27A3">
      <w:pPr>
        <w:rPr>
          <w:rStyle w:val="A1"/>
          <w:sz w:val="22"/>
          <w:szCs w:val="22"/>
        </w:rPr>
      </w:pPr>
      <w:r>
        <w:rPr>
          <w:rStyle w:val="A1"/>
          <w:sz w:val="22"/>
          <w:szCs w:val="22"/>
        </w:rPr>
        <w:t>Website</w:t>
      </w:r>
      <w:r w:rsidR="00F24DDE">
        <w:rPr>
          <w:rStyle w:val="A1"/>
          <w:sz w:val="22"/>
          <w:szCs w:val="22"/>
        </w:rPr>
        <w:t>:</w:t>
      </w:r>
      <w:r>
        <w:rPr>
          <w:rStyle w:val="A1"/>
          <w:sz w:val="22"/>
          <w:szCs w:val="22"/>
        </w:rPr>
        <w:t xml:space="preserve"> yestem.org</w:t>
      </w:r>
    </w:p>
    <w:p w14:paraId="12E28026" w14:textId="23C21EF3" w:rsidR="000929F5" w:rsidRDefault="000929F5" w:rsidP="003F27A3">
      <w:pPr>
        <w:rPr>
          <w:rStyle w:val="A1"/>
          <w:sz w:val="22"/>
          <w:szCs w:val="22"/>
        </w:rPr>
      </w:pPr>
      <w:r>
        <w:rPr>
          <w:rStyle w:val="A1"/>
          <w:sz w:val="22"/>
          <w:szCs w:val="22"/>
        </w:rPr>
        <w:t>Follow on Twitter</w:t>
      </w:r>
      <w:r w:rsidR="00F24DDE">
        <w:rPr>
          <w:rStyle w:val="A1"/>
          <w:sz w:val="22"/>
          <w:szCs w:val="22"/>
        </w:rPr>
        <w:t>:</w:t>
      </w:r>
      <w:r>
        <w:rPr>
          <w:rStyle w:val="A1"/>
          <w:sz w:val="22"/>
          <w:szCs w:val="22"/>
        </w:rPr>
        <w:t xml:space="preserve"> @YESTEM_UK</w:t>
      </w:r>
    </w:p>
    <w:p w14:paraId="6536F0DE" w14:textId="77777777" w:rsidR="0019199A" w:rsidRDefault="0019199A" w:rsidP="003F27A3">
      <w:pPr>
        <w:rPr>
          <w:rStyle w:val="A1"/>
          <w:sz w:val="22"/>
          <w:szCs w:val="22"/>
        </w:rPr>
      </w:pPr>
    </w:p>
    <w:p w14:paraId="4D403B5C" w14:textId="46EBF586" w:rsidR="000929F5" w:rsidRPr="000929F5" w:rsidRDefault="000929F5" w:rsidP="003F27A3">
      <w:r w:rsidRPr="000929F5">
        <w:rPr>
          <w:rStyle w:val="A1"/>
          <w:sz w:val="22"/>
          <w:szCs w:val="22"/>
        </w:rPr>
        <w:t xml:space="preserve">This material is based upon work supported under a collaboration between the National Science Foundation (NSF), </w:t>
      </w:r>
      <w:proofErr w:type="spellStart"/>
      <w:r w:rsidRPr="000929F5">
        <w:rPr>
          <w:rStyle w:val="A1"/>
          <w:sz w:val="22"/>
          <w:szCs w:val="22"/>
        </w:rPr>
        <w:t>Wellcome</w:t>
      </w:r>
      <w:proofErr w:type="spellEnd"/>
      <w:r w:rsidRPr="000929F5">
        <w:rPr>
          <w:rStyle w:val="A1"/>
          <w:sz w:val="22"/>
          <w:szCs w:val="22"/>
        </w:rPr>
        <w:t xml:space="preserve">, and the Economic and Social Research Council (ESRC) via a grant from the NSF (NSF grant no. 1647033) and a grant from </w:t>
      </w:r>
      <w:proofErr w:type="spellStart"/>
      <w:r w:rsidRPr="000929F5">
        <w:rPr>
          <w:rStyle w:val="A1"/>
          <w:sz w:val="22"/>
          <w:szCs w:val="22"/>
        </w:rPr>
        <w:t>Wellcome</w:t>
      </w:r>
      <w:proofErr w:type="spellEnd"/>
      <w:r w:rsidRPr="000929F5">
        <w:rPr>
          <w:rStyle w:val="A1"/>
          <w:sz w:val="22"/>
          <w:szCs w:val="22"/>
        </w:rPr>
        <w:t xml:space="preserve"> with ESRC (</w:t>
      </w:r>
      <w:proofErr w:type="spellStart"/>
      <w:r w:rsidRPr="000929F5">
        <w:rPr>
          <w:rStyle w:val="A1"/>
          <w:sz w:val="22"/>
          <w:szCs w:val="22"/>
        </w:rPr>
        <w:t>Wellcome</w:t>
      </w:r>
      <w:proofErr w:type="spellEnd"/>
      <w:r w:rsidRPr="000929F5">
        <w:rPr>
          <w:rStyle w:val="A1"/>
          <w:sz w:val="22"/>
          <w:szCs w:val="22"/>
        </w:rPr>
        <w:t xml:space="preserve"> Trust grant no. 206258/Z/17/A)</w:t>
      </w:r>
    </w:p>
    <w:p w14:paraId="34321E7A" w14:textId="77777777" w:rsidR="000929F5" w:rsidRPr="000929F5" w:rsidRDefault="000929F5" w:rsidP="003F27A3">
      <w:r w:rsidRPr="000929F5">
        <w:rPr>
          <w:rStyle w:val="A1"/>
          <w:b/>
          <w:bCs/>
          <w:sz w:val="22"/>
          <w:szCs w:val="22"/>
        </w:rPr>
        <w:t>Disclaimer</w:t>
      </w:r>
    </w:p>
    <w:p w14:paraId="17402134" w14:textId="72EAA76C" w:rsidR="00057190" w:rsidRDefault="000929F5" w:rsidP="003F27A3">
      <w:pPr>
        <w:rPr>
          <w:rStyle w:val="A1"/>
          <w:sz w:val="22"/>
          <w:szCs w:val="22"/>
        </w:rPr>
      </w:pPr>
      <w:r w:rsidRPr="000929F5">
        <w:rPr>
          <w:rStyle w:val="A1"/>
          <w:sz w:val="22"/>
          <w:szCs w:val="22"/>
        </w:rPr>
        <w:t xml:space="preserve">Any opinions, findings and conclusions or recommendations expressed in this material are those of the author(s) and do not necessarily reflect the view of NSF, </w:t>
      </w:r>
      <w:proofErr w:type="spellStart"/>
      <w:r w:rsidRPr="000929F5">
        <w:rPr>
          <w:rStyle w:val="A1"/>
          <w:sz w:val="22"/>
          <w:szCs w:val="22"/>
        </w:rPr>
        <w:t>Wellcome</w:t>
      </w:r>
      <w:proofErr w:type="spellEnd"/>
      <w:r w:rsidRPr="000929F5">
        <w:rPr>
          <w:rStyle w:val="A1"/>
          <w:sz w:val="22"/>
          <w:szCs w:val="22"/>
        </w:rPr>
        <w:t>, or ESRC.</w:t>
      </w:r>
    </w:p>
    <w:p w14:paraId="70704116" w14:textId="09875619" w:rsidR="00001F19" w:rsidRDefault="00001F19" w:rsidP="003F27A3">
      <w:pPr>
        <w:rPr>
          <w:w w:val="105"/>
        </w:rPr>
      </w:pPr>
      <w:r w:rsidRPr="000C2E3A">
        <w:rPr>
          <w:spacing w:val="-1"/>
        </w:rPr>
        <w:t>How</w:t>
      </w:r>
      <w:r w:rsidRPr="000C2E3A">
        <w:rPr>
          <w:spacing w:val="-11"/>
        </w:rPr>
        <w:t xml:space="preserve"> </w:t>
      </w:r>
      <w:r w:rsidRPr="000C2E3A">
        <w:rPr>
          <w:spacing w:val="-1"/>
        </w:rPr>
        <w:t>to</w:t>
      </w:r>
      <w:r w:rsidRPr="000C2E3A">
        <w:rPr>
          <w:spacing w:val="-10"/>
        </w:rPr>
        <w:t xml:space="preserve"> </w:t>
      </w:r>
      <w:r w:rsidRPr="000C2E3A">
        <w:rPr>
          <w:spacing w:val="-1"/>
        </w:rPr>
        <w:t>cite</w:t>
      </w:r>
      <w:r w:rsidRPr="000C2E3A">
        <w:rPr>
          <w:spacing w:val="-10"/>
        </w:rPr>
        <w:t xml:space="preserve"> </w:t>
      </w:r>
      <w:r w:rsidRPr="000C2E3A">
        <w:rPr>
          <w:spacing w:val="-1"/>
        </w:rPr>
        <w:t>this</w:t>
      </w:r>
      <w:r w:rsidRPr="000C2E3A">
        <w:rPr>
          <w:spacing w:val="-10"/>
        </w:rPr>
        <w:t xml:space="preserve"> </w:t>
      </w:r>
      <w:r w:rsidRPr="000C2E3A">
        <w:rPr>
          <w:spacing w:val="-1"/>
        </w:rPr>
        <w:t>publication:</w:t>
      </w:r>
      <w:r w:rsidRPr="000C2E3A">
        <w:rPr>
          <w:spacing w:val="-10"/>
        </w:rPr>
        <w:t xml:space="preserve"> </w:t>
      </w:r>
      <w:r w:rsidRPr="000C2E3A">
        <w:rPr>
          <w:spacing w:val="-1"/>
        </w:rPr>
        <w:t>YESTEM</w:t>
      </w:r>
      <w:r w:rsidRPr="000C2E3A">
        <w:rPr>
          <w:spacing w:val="-10"/>
        </w:rPr>
        <w:t xml:space="preserve"> </w:t>
      </w:r>
      <w:r w:rsidRPr="000C2E3A">
        <w:rPr>
          <w:spacing w:val="-1"/>
        </w:rPr>
        <w:t>Project</w:t>
      </w:r>
      <w:r w:rsidRPr="000C2E3A">
        <w:rPr>
          <w:spacing w:val="-10"/>
        </w:rPr>
        <w:t xml:space="preserve"> </w:t>
      </w:r>
      <w:r w:rsidRPr="000C2E3A">
        <w:rPr>
          <w:spacing w:val="-1"/>
        </w:rPr>
        <w:t>Team</w:t>
      </w:r>
      <w:r w:rsidRPr="000C2E3A">
        <w:rPr>
          <w:spacing w:val="-10"/>
        </w:rPr>
        <w:t xml:space="preserve"> </w:t>
      </w:r>
      <w:r w:rsidRPr="000C2E3A">
        <w:rPr>
          <w:spacing w:val="-1"/>
        </w:rPr>
        <w:t>(2021).</w:t>
      </w:r>
      <w:r w:rsidRPr="000C2E3A">
        <w:rPr>
          <w:spacing w:val="-10"/>
        </w:rPr>
        <w:t xml:space="preserve"> </w:t>
      </w:r>
      <w:r w:rsidRPr="000C2E3A">
        <w:rPr>
          <w:spacing w:val="-1"/>
        </w:rPr>
        <w:t>YESTEM</w:t>
      </w:r>
      <w:r w:rsidRPr="000C2E3A">
        <w:rPr>
          <w:spacing w:val="-10"/>
        </w:rPr>
        <w:t xml:space="preserve"> </w:t>
      </w:r>
      <w:r w:rsidRPr="000C2E3A">
        <w:t>Insight</w:t>
      </w:r>
      <w:r w:rsidRPr="000C2E3A">
        <w:rPr>
          <w:spacing w:val="-10"/>
        </w:rPr>
        <w:t xml:space="preserve"> </w:t>
      </w:r>
      <w:r w:rsidRPr="000C2E3A">
        <w:t>1:</w:t>
      </w:r>
      <w:r w:rsidRPr="000C2E3A">
        <w:rPr>
          <w:spacing w:val="-10"/>
        </w:rPr>
        <w:t xml:space="preserve"> </w:t>
      </w:r>
      <w:r w:rsidRPr="000C2E3A">
        <w:t>The</w:t>
      </w:r>
      <w:r w:rsidRPr="000C2E3A">
        <w:rPr>
          <w:spacing w:val="-10"/>
        </w:rPr>
        <w:t xml:space="preserve"> </w:t>
      </w:r>
      <w:r w:rsidRPr="000C2E3A">
        <w:t>Equity</w:t>
      </w:r>
      <w:r w:rsidRPr="000C2E3A">
        <w:rPr>
          <w:spacing w:val="-10"/>
        </w:rPr>
        <w:t xml:space="preserve"> </w:t>
      </w:r>
      <w:r w:rsidRPr="000C2E3A">
        <w:t>Compass:</w:t>
      </w:r>
      <w:r w:rsidRPr="000C2E3A">
        <w:rPr>
          <w:spacing w:val="-10"/>
        </w:rPr>
        <w:t xml:space="preserve"> </w:t>
      </w:r>
      <w:r w:rsidRPr="000C2E3A">
        <w:t>A</w:t>
      </w:r>
      <w:r w:rsidRPr="000C2E3A">
        <w:rPr>
          <w:spacing w:val="-10"/>
        </w:rPr>
        <w:t xml:space="preserve"> </w:t>
      </w:r>
      <w:r w:rsidRPr="000C2E3A">
        <w:t>Tool</w:t>
      </w:r>
      <w:r w:rsidRPr="000C2E3A">
        <w:rPr>
          <w:spacing w:val="-10"/>
        </w:rPr>
        <w:t xml:space="preserve"> </w:t>
      </w:r>
      <w:r w:rsidRPr="000C2E3A">
        <w:t>for</w:t>
      </w:r>
      <w:r w:rsidRPr="000C2E3A">
        <w:rPr>
          <w:spacing w:val="-10"/>
        </w:rPr>
        <w:t xml:space="preserve"> </w:t>
      </w:r>
      <w:r w:rsidRPr="000C2E3A">
        <w:t>supporting</w:t>
      </w:r>
      <w:r w:rsidRPr="000C2E3A">
        <w:rPr>
          <w:spacing w:val="-10"/>
        </w:rPr>
        <w:t xml:space="preserve"> </w:t>
      </w:r>
      <w:r w:rsidRPr="000C2E3A">
        <w:t>socially</w:t>
      </w:r>
      <w:r w:rsidRPr="000C2E3A">
        <w:rPr>
          <w:spacing w:val="-10"/>
        </w:rPr>
        <w:t xml:space="preserve"> </w:t>
      </w:r>
      <w:r w:rsidRPr="000C2E3A">
        <w:t>just</w:t>
      </w:r>
      <w:r w:rsidRPr="000C2E3A">
        <w:rPr>
          <w:spacing w:val="-10"/>
        </w:rPr>
        <w:t xml:space="preserve"> </w:t>
      </w:r>
      <w:r w:rsidRPr="000C2E3A">
        <w:t>practice.</w:t>
      </w:r>
      <w:r>
        <w:t xml:space="preserve"> </w:t>
      </w:r>
      <w:hyperlink r:id="rId15">
        <w:r w:rsidRPr="000C2E3A">
          <w:rPr>
            <w:w w:val="105"/>
          </w:rPr>
          <w:t>yestem.org</w:t>
        </w:r>
      </w:hyperlink>
    </w:p>
    <w:p w14:paraId="259CCCFA" w14:textId="0B706279" w:rsidR="00772041" w:rsidRDefault="00772041" w:rsidP="003F27A3">
      <w:pPr>
        <w:rPr>
          <w:w w:val="105"/>
        </w:rPr>
      </w:pPr>
    </w:p>
    <w:p w14:paraId="717E72A7" w14:textId="1B016170" w:rsidR="00772041" w:rsidRDefault="00772041" w:rsidP="003F27A3">
      <w:pPr>
        <w:rPr>
          <w:w w:val="105"/>
        </w:rPr>
      </w:pPr>
    </w:p>
    <w:p w14:paraId="1F03C767" w14:textId="6F05795B" w:rsidR="00772041" w:rsidRDefault="00772041" w:rsidP="003F27A3">
      <w:pPr>
        <w:rPr>
          <w:w w:val="105"/>
        </w:rPr>
      </w:pPr>
    </w:p>
    <w:p w14:paraId="078117F8" w14:textId="77777777" w:rsidR="00772041" w:rsidRPr="004A5D5C" w:rsidRDefault="00772041" w:rsidP="003F27A3">
      <w:pPr>
        <w:rPr>
          <w:w w:val="105"/>
        </w:rPr>
      </w:pPr>
    </w:p>
    <w:p w14:paraId="3FEC89D3" w14:textId="3BBDF708" w:rsidR="00001F19" w:rsidRPr="000C2E3A" w:rsidRDefault="00001F19" w:rsidP="003F27A3">
      <w:r w:rsidRPr="000C2E3A">
        <w:rPr>
          <w:noProof/>
        </w:rPr>
        <w:drawing>
          <wp:inline distT="0" distB="0" distL="0" distR="0" wp14:anchorId="7F90B5B4" wp14:editId="6D97A888">
            <wp:extent cx="6191250" cy="315595"/>
            <wp:effectExtent l="0" t="0" r="0" b="8255"/>
            <wp:docPr id="19" name="image6.jpeg" descr="Logos of Youth Equity and STEM project partners: We the Curious, Hanwell Zoo, Impression 5, Oregon Museum of Science and Industry, Knowle West Media Centre, Stemettes, Boys and Girls club of Lansing, Girls Inc., Institute for Learning Innovation, Institute for Learning Innovation, UCL Science and Technology Studies and UCL institute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jpeg" descr="Logos of Youth Equity and STEM project partners: We the Curious, Hanwell Zoo, Impression 5, Oregon Museum of Science and Industry, Knowle West Media Centre, Stemettes, Boys and Girls club of Lansing, Girls Inc., Institute for Learning Innovation, Institute for Learning Innovation, UCL Science and Technology Studies and UCL institute of Education "/>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91250" cy="315595"/>
                    </a:xfrm>
                    <a:prstGeom prst="rect">
                      <a:avLst/>
                    </a:prstGeom>
                  </pic:spPr>
                </pic:pic>
              </a:graphicData>
            </a:graphic>
          </wp:inline>
        </w:drawing>
      </w:r>
    </w:p>
    <w:sectPr w:rsidR="00001F19" w:rsidRPr="000C2E3A" w:rsidSect="00B92CA0">
      <w:headerReference w:type="even" r:id="rId17"/>
      <w:footerReference w:type="even" r:id="rId18"/>
      <w:pgSz w:w="11910" w:h="16840"/>
      <w:pgMar w:top="1440" w:right="1080" w:bottom="1440" w:left="1080" w:header="718" w:footer="3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EAAA" w14:textId="77777777" w:rsidR="00781963" w:rsidRDefault="00710FEC" w:rsidP="003F27A3">
      <w:r>
        <w:separator/>
      </w:r>
    </w:p>
  </w:endnote>
  <w:endnote w:type="continuationSeparator" w:id="0">
    <w:p w14:paraId="389D2F50" w14:textId="77777777" w:rsidR="00781963" w:rsidRDefault="00710FEC" w:rsidP="003F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2457" w14:textId="1C8F76DE" w:rsidR="00181EFE" w:rsidRDefault="00710FEC" w:rsidP="003F27A3">
    <w:pPr>
      <w:pStyle w:val="BodyText"/>
      <w:rPr>
        <w:sz w:val="20"/>
      </w:rPr>
    </w:pPr>
    <w:r>
      <w:rPr>
        <w:noProof/>
      </w:rPr>
      <w:drawing>
        <wp:anchor distT="0" distB="0" distL="0" distR="0" simplePos="0" relativeHeight="251682816" behindDoc="1" locked="0" layoutInCell="1" allowOverlap="1" wp14:anchorId="4C14511B" wp14:editId="79BE3E8B">
          <wp:simplePos x="0" y="0"/>
          <wp:positionH relativeFrom="page">
            <wp:posOffset>377696</wp:posOffset>
          </wp:positionH>
          <wp:positionV relativeFrom="page">
            <wp:posOffset>9992381</wp:posOffset>
          </wp:positionV>
          <wp:extent cx="6771396" cy="345705"/>
          <wp:effectExtent l="0" t="0" r="0" b="0"/>
          <wp:wrapNone/>
          <wp:docPr id="9" name="image6.jpeg" descr="Logos of Youth Equity and STEM project partners: We the Curious, Hanwell Zoo, Impression 5, Oregon Museum of Science and Industry, Knowle West Media Centre, Stemettes, Boys and Girls club of Lansing, Girls Inc., Institute for Learning Innovation, Institute for Learning Innovation, UCL Science and Technology Studies and UCL institute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jpeg" descr="Logos of Youth Equity and STEM project partners: We the Curious, Hanwell Zoo, Impression 5, Oregon Museum of Science and Industry, Knowle West Media Centre, Stemettes, Boys and Girls club of Lansing, Girls Inc., Institute for Learning Innovation, Institute for Learning Innovation, UCL Science and Technology Studies and UCL institute of Education "/>
                  <pic:cNvPicPr/>
                </pic:nvPicPr>
                <pic:blipFill>
                  <a:blip r:embed="rId1" cstate="print"/>
                  <a:stretch>
                    <a:fillRect/>
                  </a:stretch>
                </pic:blipFill>
                <pic:spPr>
                  <a:xfrm>
                    <a:off x="0" y="0"/>
                    <a:ext cx="6771396" cy="345705"/>
                  </a:xfrm>
                  <a:prstGeom prst="rect">
                    <a:avLst/>
                  </a:prstGeom>
                </pic:spPr>
              </pic:pic>
            </a:graphicData>
          </a:graphic>
        </wp:anchor>
      </w:drawing>
    </w:r>
    <w:r>
      <w:rPr>
        <w:noProof/>
      </w:rPr>
      <w:drawing>
        <wp:anchor distT="0" distB="0" distL="0" distR="0" simplePos="0" relativeHeight="251683840" behindDoc="1" locked="0" layoutInCell="1" allowOverlap="1" wp14:anchorId="1EAB2919" wp14:editId="17672B5A">
          <wp:simplePos x="0" y="0"/>
          <wp:positionH relativeFrom="page">
            <wp:posOffset>5715146</wp:posOffset>
          </wp:positionH>
          <wp:positionV relativeFrom="page">
            <wp:posOffset>8935667</wp:posOffset>
          </wp:positionV>
          <wp:extent cx="191858" cy="155917"/>
          <wp:effectExtent l="0" t="0" r="0" b="0"/>
          <wp:wrapNone/>
          <wp:docPr id="11" name="image11.png" descr="Twitter logo, blue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png" descr="Twitter logo, blue bird"/>
                  <pic:cNvPicPr/>
                </pic:nvPicPr>
                <pic:blipFill>
                  <a:blip r:embed="rId2" cstate="print"/>
                  <a:stretch>
                    <a:fillRect/>
                  </a:stretch>
                </pic:blipFill>
                <pic:spPr>
                  <a:xfrm>
                    <a:off x="0" y="0"/>
                    <a:ext cx="191858" cy="155917"/>
                  </a:xfrm>
                  <a:prstGeom prst="rect">
                    <a:avLst/>
                  </a:prstGeom>
                </pic:spPr>
              </pic:pic>
            </a:graphicData>
          </a:graphic>
        </wp:anchor>
      </w:drawing>
    </w:r>
    <w:r w:rsidR="00162301">
      <w:rPr>
        <w:noProof/>
      </w:rPr>
      <mc:AlternateContent>
        <mc:Choice Requires="wps">
          <w:drawing>
            <wp:anchor distT="0" distB="0" distL="114300" distR="114300" simplePos="0" relativeHeight="251684864" behindDoc="1" locked="0" layoutInCell="1" allowOverlap="1" wp14:anchorId="6B704672" wp14:editId="10F4DB58">
              <wp:simplePos x="0" y="0"/>
              <wp:positionH relativeFrom="page">
                <wp:posOffset>431800</wp:posOffset>
              </wp:positionH>
              <wp:positionV relativeFrom="page">
                <wp:posOffset>8274050</wp:posOffset>
              </wp:positionV>
              <wp:extent cx="6696075"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9525">
                        <a:solidFill>
                          <a:srgbClr val="A84A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A1849" id="Straight Connector 3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651.5pt" to="561.2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" strokecolor="#a84a96">
              <w10:wrap anchorx="page" anchory="page"/>
            </v:line>
          </w:pict>
        </mc:Fallback>
      </mc:AlternateContent>
    </w:r>
    <w:r w:rsidR="00162301">
      <w:rPr>
        <w:noProof/>
      </w:rPr>
      <mc:AlternateContent>
        <mc:Choice Requires="wps">
          <w:drawing>
            <wp:anchor distT="0" distB="0" distL="114300" distR="114300" simplePos="0" relativeHeight="251685888" behindDoc="1" locked="0" layoutInCell="1" allowOverlap="1" wp14:anchorId="4D4B6618" wp14:editId="670CADE7">
              <wp:simplePos x="0" y="0"/>
              <wp:positionH relativeFrom="page">
                <wp:posOffset>5971540</wp:posOffset>
              </wp:positionH>
              <wp:positionV relativeFrom="page">
                <wp:posOffset>8499475</wp:posOffset>
              </wp:positionV>
              <wp:extent cx="1173480" cy="64008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F837B" w14:textId="77777777" w:rsidR="00181EFE" w:rsidRDefault="009D49BE" w:rsidP="003F27A3">
                          <w:pPr>
                            <w:rPr>
                              <w:sz w:val="32"/>
                            </w:rPr>
                          </w:pPr>
                          <w:hyperlink r:id="rId3">
                            <w:r w:rsidR="00710FEC">
                              <w:rPr>
                                <w:sz w:val="32"/>
                              </w:rPr>
                              <w:t>yestem.org</w:t>
                            </w:r>
                          </w:hyperlink>
                        </w:p>
                        <w:p w14:paraId="4203EA8A" w14:textId="77777777" w:rsidR="00181EFE" w:rsidRDefault="009D49BE" w:rsidP="003F27A3">
                          <w:pPr>
                            <w:rPr>
                              <w:sz w:val="32"/>
                            </w:rPr>
                          </w:pPr>
                          <w:hyperlink r:id="rId4">
                            <w:r w:rsidR="00710FEC">
                              <w:rPr>
                                <w:w w:val="90"/>
                                <w:sz w:val="32"/>
                              </w:rPr>
                              <w:t>@yestem_uk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B6618" id="_x0000_t202" coordsize="21600,21600" o:spt="202" path="m,l,21600r21600,l21600,xe">
              <v:stroke joinstyle="miter"/>
              <v:path gradientshapeok="t" o:connecttype="rect"/>
            </v:shapetype>
            <v:shape id="Text Box 37" o:spid="_x0000_s1027" type="#_x0000_t202" style="position:absolute;margin-left:470.2pt;margin-top:669.25pt;width:92.4pt;height:50.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" filled="f" stroked="f">
              <v:textbox inset="0,0,0,0">
                <w:txbxContent>
                  <w:p w14:paraId="461F837B" w14:textId="77777777" w:rsidR="00181EFE" w:rsidRDefault="009D49BE" w:rsidP="003F27A3">
                    <w:pPr>
                      <w:rPr>
                        <w:sz w:val="32"/>
                      </w:rPr>
                    </w:pPr>
                    <w:hyperlink r:id="rId5">
                      <w:r w:rsidR="00710FEC">
                        <w:rPr>
                          <w:sz w:val="32"/>
                        </w:rPr>
                        <w:t>yestem.org</w:t>
                      </w:r>
                    </w:hyperlink>
                  </w:p>
                  <w:p w14:paraId="4203EA8A" w14:textId="77777777" w:rsidR="00181EFE" w:rsidRDefault="009D49BE" w:rsidP="003F27A3">
                    <w:pPr>
                      <w:rPr>
                        <w:sz w:val="32"/>
                      </w:rPr>
                    </w:pPr>
                    <w:hyperlink r:id="rId6">
                      <w:r w:rsidR="00710FEC">
                        <w:rPr>
                          <w:w w:val="90"/>
                          <w:sz w:val="32"/>
                        </w:rPr>
                        <w:t>@yestem_uk</w:t>
                      </w:r>
                    </w:hyperlink>
                  </w:p>
                </w:txbxContent>
              </v:textbox>
              <w10:wrap anchorx="page" anchory="page"/>
            </v:shape>
          </w:pict>
        </mc:Fallback>
      </mc:AlternateContent>
    </w:r>
    <w:r w:rsidR="00162301">
      <w:rPr>
        <w:noProof/>
      </w:rPr>
      <mc:AlternateContent>
        <mc:Choice Requires="wps">
          <w:drawing>
            <wp:anchor distT="0" distB="0" distL="114300" distR="114300" simplePos="0" relativeHeight="251686912" behindDoc="1" locked="0" layoutInCell="1" allowOverlap="1" wp14:anchorId="60988919" wp14:editId="730ACBF3">
              <wp:simplePos x="0" y="0"/>
              <wp:positionH relativeFrom="page">
                <wp:posOffset>417195</wp:posOffset>
              </wp:positionH>
              <wp:positionV relativeFrom="page">
                <wp:posOffset>8526780</wp:posOffset>
              </wp:positionV>
              <wp:extent cx="3062605" cy="65214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DC903" w14:textId="77777777" w:rsidR="00181EFE" w:rsidRDefault="00710FEC" w:rsidP="003F27A3">
                          <w:r>
                            <w:t>This material is based upon work supported under a collaboration</w:t>
                          </w:r>
                          <w:r>
                            <w:rPr>
                              <w:spacing w:val="1"/>
                            </w:rPr>
                            <w:t xml:space="preserve"> </w:t>
                          </w:r>
                          <w:r>
                            <w:t>between</w:t>
                          </w:r>
                          <w:r>
                            <w:rPr>
                              <w:spacing w:val="-10"/>
                            </w:rPr>
                            <w:t xml:space="preserve"> </w:t>
                          </w:r>
                          <w:r>
                            <w:t>the</w:t>
                          </w:r>
                          <w:r>
                            <w:rPr>
                              <w:spacing w:val="-9"/>
                            </w:rPr>
                            <w:t xml:space="preserve"> </w:t>
                          </w:r>
                          <w:r>
                            <w:t>National</w:t>
                          </w:r>
                          <w:r>
                            <w:rPr>
                              <w:spacing w:val="-10"/>
                            </w:rPr>
                            <w:t xml:space="preserve"> </w:t>
                          </w:r>
                          <w:r>
                            <w:t>Science</w:t>
                          </w:r>
                          <w:r>
                            <w:rPr>
                              <w:spacing w:val="-9"/>
                            </w:rPr>
                            <w:t xml:space="preserve"> </w:t>
                          </w:r>
                          <w:r>
                            <w:t>Foundation</w:t>
                          </w:r>
                          <w:r>
                            <w:rPr>
                              <w:spacing w:val="-10"/>
                            </w:rPr>
                            <w:t xml:space="preserve"> </w:t>
                          </w:r>
                          <w:r>
                            <w:t>(NSF),</w:t>
                          </w:r>
                          <w:r>
                            <w:rPr>
                              <w:spacing w:val="-9"/>
                            </w:rPr>
                            <w:t xml:space="preserve"> </w:t>
                          </w:r>
                          <w:r>
                            <w:t>Wellcome,</w:t>
                          </w:r>
                          <w:r>
                            <w:rPr>
                              <w:spacing w:val="-10"/>
                            </w:rPr>
                            <w:t xml:space="preserve"> </w:t>
                          </w:r>
                          <w:r>
                            <w:t>and</w:t>
                          </w:r>
                          <w:r>
                            <w:rPr>
                              <w:spacing w:val="-10"/>
                            </w:rPr>
                            <w:t xml:space="preserve"> </w:t>
                          </w:r>
                          <w:r>
                            <w:t>the</w:t>
                          </w:r>
                          <w:r>
                            <w:rPr>
                              <w:spacing w:val="1"/>
                            </w:rPr>
                            <w:t xml:space="preserve"> </w:t>
                          </w:r>
                          <w:r>
                            <w:t>Economic and Social Research Council (ESRC) via a grant from the</w:t>
                          </w:r>
                          <w:r>
                            <w:rPr>
                              <w:spacing w:val="-43"/>
                            </w:rPr>
                            <w:t xml:space="preserve"> </w:t>
                          </w:r>
                          <w:r>
                            <w:t>NSF</w:t>
                          </w:r>
                          <w:r>
                            <w:rPr>
                              <w:spacing w:val="-10"/>
                            </w:rPr>
                            <w:t xml:space="preserve"> </w:t>
                          </w:r>
                          <w:r>
                            <w:t>(NSF</w:t>
                          </w:r>
                          <w:r>
                            <w:rPr>
                              <w:spacing w:val="-10"/>
                            </w:rPr>
                            <w:t xml:space="preserve"> </w:t>
                          </w:r>
                          <w:r>
                            <w:t>grant</w:t>
                          </w:r>
                          <w:r>
                            <w:rPr>
                              <w:spacing w:val="-10"/>
                            </w:rPr>
                            <w:t xml:space="preserve"> </w:t>
                          </w:r>
                          <w:r>
                            <w:t>no.</w:t>
                          </w:r>
                          <w:r>
                            <w:rPr>
                              <w:spacing w:val="-10"/>
                            </w:rPr>
                            <w:t xml:space="preserve"> </w:t>
                          </w:r>
                          <w:r>
                            <w:t>1647033)</w:t>
                          </w:r>
                          <w:r>
                            <w:rPr>
                              <w:spacing w:val="-10"/>
                            </w:rPr>
                            <w:t xml:space="preserve"> </w:t>
                          </w:r>
                          <w:r>
                            <w:t>and</w:t>
                          </w:r>
                          <w:r>
                            <w:rPr>
                              <w:spacing w:val="-10"/>
                            </w:rPr>
                            <w:t xml:space="preserve"> </w:t>
                          </w:r>
                          <w:r>
                            <w:t>a</w:t>
                          </w:r>
                          <w:r>
                            <w:rPr>
                              <w:spacing w:val="-9"/>
                            </w:rPr>
                            <w:t xml:space="preserve"> </w:t>
                          </w:r>
                          <w:r>
                            <w:t>grant</w:t>
                          </w:r>
                          <w:r>
                            <w:rPr>
                              <w:spacing w:val="-10"/>
                            </w:rPr>
                            <w:t xml:space="preserve"> </w:t>
                          </w:r>
                          <w:r>
                            <w:t>from</w:t>
                          </w:r>
                          <w:r>
                            <w:rPr>
                              <w:spacing w:val="-10"/>
                            </w:rPr>
                            <w:t xml:space="preserve"> </w:t>
                          </w:r>
                          <w:r>
                            <w:t>Wellcome</w:t>
                          </w:r>
                          <w:r>
                            <w:rPr>
                              <w:spacing w:val="-10"/>
                            </w:rPr>
                            <w:t xml:space="preserve"> </w:t>
                          </w:r>
                          <w:r>
                            <w:t>with</w:t>
                          </w:r>
                          <w:r>
                            <w:rPr>
                              <w:spacing w:val="-10"/>
                            </w:rPr>
                            <w:t xml:space="preserve"> </w:t>
                          </w:r>
                          <w:r>
                            <w:t>ESRC</w:t>
                          </w:r>
                          <w:r>
                            <w:rPr>
                              <w:spacing w:val="-41"/>
                            </w:rPr>
                            <w:t xml:space="preserve"> </w:t>
                          </w:r>
                          <w:r>
                            <w:t>(Wellcome</w:t>
                          </w:r>
                          <w:r>
                            <w:rPr>
                              <w:spacing w:val="-6"/>
                            </w:rPr>
                            <w:t xml:space="preserve"> </w:t>
                          </w:r>
                          <w:r>
                            <w:t>Trust</w:t>
                          </w:r>
                          <w:r>
                            <w:rPr>
                              <w:spacing w:val="-6"/>
                            </w:rPr>
                            <w:t xml:space="preserve"> </w:t>
                          </w:r>
                          <w:r>
                            <w:t>grant</w:t>
                          </w:r>
                          <w:r>
                            <w:rPr>
                              <w:spacing w:val="-5"/>
                            </w:rPr>
                            <w:t xml:space="preserve"> </w:t>
                          </w:r>
                          <w:r>
                            <w:t>no.</w:t>
                          </w:r>
                          <w:r>
                            <w:rPr>
                              <w:spacing w:val="-6"/>
                            </w:rPr>
                            <w:t xml:space="preserve"> </w:t>
                          </w:r>
                          <w:r>
                            <w:t>206258/Z/17/A)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88919" id="Text Box 36" o:spid="_x0000_s1028" type="#_x0000_t202" style="position:absolute;margin-left:32.85pt;margin-top:671.4pt;width:241.15pt;height:51.3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" filled="f" stroked="f">
              <v:textbox inset="0,0,0,0">
                <w:txbxContent>
                  <w:p w14:paraId="3C4DC903" w14:textId="77777777" w:rsidR="00181EFE" w:rsidRDefault="00710FEC" w:rsidP="003F27A3">
                    <w:r>
                      <w:t>This material is based upon work supported under a collaboration</w:t>
                    </w:r>
                    <w:r>
                      <w:rPr>
                        <w:spacing w:val="1"/>
                      </w:rPr>
                      <w:t xml:space="preserve"> </w:t>
                    </w:r>
                    <w:r>
                      <w:t>between</w:t>
                    </w:r>
                    <w:r>
                      <w:rPr>
                        <w:spacing w:val="-10"/>
                      </w:rPr>
                      <w:t xml:space="preserve"> </w:t>
                    </w:r>
                    <w:r>
                      <w:t>the</w:t>
                    </w:r>
                    <w:r>
                      <w:rPr>
                        <w:spacing w:val="-9"/>
                      </w:rPr>
                      <w:t xml:space="preserve"> </w:t>
                    </w:r>
                    <w:r>
                      <w:t>National</w:t>
                    </w:r>
                    <w:r>
                      <w:rPr>
                        <w:spacing w:val="-10"/>
                      </w:rPr>
                      <w:t xml:space="preserve"> </w:t>
                    </w:r>
                    <w:r>
                      <w:t>Science</w:t>
                    </w:r>
                    <w:r>
                      <w:rPr>
                        <w:spacing w:val="-9"/>
                      </w:rPr>
                      <w:t xml:space="preserve"> </w:t>
                    </w:r>
                    <w:r>
                      <w:t>Foundation</w:t>
                    </w:r>
                    <w:r>
                      <w:rPr>
                        <w:spacing w:val="-10"/>
                      </w:rPr>
                      <w:t xml:space="preserve"> </w:t>
                    </w:r>
                    <w:r>
                      <w:t>(NSF),</w:t>
                    </w:r>
                    <w:r>
                      <w:rPr>
                        <w:spacing w:val="-9"/>
                      </w:rPr>
                      <w:t xml:space="preserve"> </w:t>
                    </w:r>
                    <w:r>
                      <w:t>Wellcome,</w:t>
                    </w:r>
                    <w:r>
                      <w:rPr>
                        <w:spacing w:val="-10"/>
                      </w:rPr>
                      <w:t xml:space="preserve"> </w:t>
                    </w:r>
                    <w:r>
                      <w:t>and</w:t>
                    </w:r>
                    <w:r>
                      <w:rPr>
                        <w:spacing w:val="-10"/>
                      </w:rPr>
                      <w:t xml:space="preserve"> </w:t>
                    </w:r>
                    <w:r>
                      <w:t>the</w:t>
                    </w:r>
                    <w:r>
                      <w:rPr>
                        <w:spacing w:val="1"/>
                      </w:rPr>
                      <w:t xml:space="preserve"> </w:t>
                    </w:r>
                    <w:r>
                      <w:t>Economic and Social Research Council (ESRC) via a grant from the</w:t>
                    </w:r>
                    <w:r>
                      <w:rPr>
                        <w:spacing w:val="-43"/>
                      </w:rPr>
                      <w:t xml:space="preserve"> </w:t>
                    </w:r>
                    <w:r>
                      <w:t>NSF</w:t>
                    </w:r>
                    <w:r>
                      <w:rPr>
                        <w:spacing w:val="-10"/>
                      </w:rPr>
                      <w:t xml:space="preserve"> </w:t>
                    </w:r>
                    <w:r>
                      <w:t>(NSF</w:t>
                    </w:r>
                    <w:r>
                      <w:rPr>
                        <w:spacing w:val="-10"/>
                      </w:rPr>
                      <w:t xml:space="preserve"> </w:t>
                    </w:r>
                    <w:r>
                      <w:t>grant</w:t>
                    </w:r>
                    <w:r>
                      <w:rPr>
                        <w:spacing w:val="-10"/>
                      </w:rPr>
                      <w:t xml:space="preserve"> </w:t>
                    </w:r>
                    <w:r>
                      <w:t>no.</w:t>
                    </w:r>
                    <w:r>
                      <w:rPr>
                        <w:spacing w:val="-10"/>
                      </w:rPr>
                      <w:t xml:space="preserve"> </w:t>
                    </w:r>
                    <w:r>
                      <w:t>1647033)</w:t>
                    </w:r>
                    <w:r>
                      <w:rPr>
                        <w:spacing w:val="-10"/>
                      </w:rPr>
                      <w:t xml:space="preserve"> </w:t>
                    </w:r>
                    <w:r>
                      <w:t>and</w:t>
                    </w:r>
                    <w:r>
                      <w:rPr>
                        <w:spacing w:val="-10"/>
                      </w:rPr>
                      <w:t xml:space="preserve"> </w:t>
                    </w:r>
                    <w:r>
                      <w:t>a</w:t>
                    </w:r>
                    <w:r>
                      <w:rPr>
                        <w:spacing w:val="-9"/>
                      </w:rPr>
                      <w:t xml:space="preserve"> </w:t>
                    </w:r>
                    <w:r>
                      <w:t>grant</w:t>
                    </w:r>
                    <w:r>
                      <w:rPr>
                        <w:spacing w:val="-10"/>
                      </w:rPr>
                      <w:t xml:space="preserve"> </w:t>
                    </w:r>
                    <w:r>
                      <w:t>from</w:t>
                    </w:r>
                    <w:r>
                      <w:rPr>
                        <w:spacing w:val="-10"/>
                      </w:rPr>
                      <w:t xml:space="preserve"> </w:t>
                    </w:r>
                    <w:r>
                      <w:t>Wellcome</w:t>
                    </w:r>
                    <w:r>
                      <w:rPr>
                        <w:spacing w:val="-10"/>
                      </w:rPr>
                      <w:t xml:space="preserve"> </w:t>
                    </w:r>
                    <w:r>
                      <w:t>with</w:t>
                    </w:r>
                    <w:r>
                      <w:rPr>
                        <w:spacing w:val="-10"/>
                      </w:rPr>
                      <w:t xml:space="preserve"> </w:t>
                    </w:r>
                    <w:r>
                      <w:t>ESRC</w:t>
                    </w:r>
                    <w:r>
                      <w:rPr>
                        <w:spacing w:val="-41"/>
                      </w:rPr>
                      <w:t xml:space="preserve"> </w:t>
                    </w:r>
                    <w:r>
                      <w:t>(Wellcome</w:t>
                    </w:r>
                    <w:r>
                      <w:rPr>
                        <w:spacing w:val="-6"/>
                      </w:rPr>
                      <w:t xml:space="preserve"> </w:t>
                    </w:r>
                    <w:r>
                      <w:t>Trust</w:t>
                    </w:r>
                    <w:r>
                      <w:rPr>
                        <w:spacing w:val="-6"/>
                      </w:rPr>
                      <w:t xml:space="preserve"> </w:t>
                    </w:r>
                    <w:r>
                      <w:t>grant</w:t>
                    </w:r>
                    <w:r>
                      <w:rPr>
                        <w:spacing w:val="-5"/>
                      </w:rPr>
                      <w:t xml:space="preserve"> </w:t>
                    </w:r>
                    <w:r>
                      <w:t>no.</w:t>
                    </w:r>
                    <w:r>
                      <w:rPr>
                        <w:spacing w:val="-6"/>
                      </w:rPr>
                      <w:t xml:space="preserve"> </w:t>
                    </w:r>
                    <w:r>
                      <w:t>206258/Z/17/A)</w:t>
                    </w:r>
                  </w:p>
                </w:txbxContent>
              </v:textbox>
              <w10:wrap anchorx="page" anchory="page"/>
            </v:shape>
          </w:pict>
        </mc:Fallback>
      </mc:AlternateContent>
    </w:r>
    <w:r w:rsidR="00162301">
      <w:rPr>
        <w:noProof/>
      </w:rPr>
      <mc:AlternateContent>
        <mc:Choice Requires="wps">
          <w:drawing>
            <wp:anchor distT="0" distB="0" distL="114300" distR="114300" simplePos="0" relativeHeight="251687936" behindDoc="1" locked="0" layoutInCell="1" allowOverlap="1" wp14:anchorId="56D070E0" wp14:editId="6D1A891C">
              <wp:simplePos x="0" y="0"/>
              <wp:positionH relativeFrom="page">
                <wp:posOffset>417195</wp:posOffset>
              </wp:positionH>
              <wp:positionV relativeFrom="page">
                <wp:posOffset>9267825</wp:posOffset>
              </wp:positionV>
              <wp:extent cx="3195320" cy="52768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86057" w14:textId="77777777" w:rsidR="00181EFE" w:rsidRDefault="00710FEC" w:rsidP="003F27A3">
                          <w:r>
                            <w:t>Disclaimer</w:t>
                          </w:r>
                        </w:p>
                        <w:p w14:paraId="58E4B74E" w14:textId="77777777" w:rsidR="00181EFE" w:rsidRDefault="00710FEC" w:rsidP="003F27A3">
                          <w:r>
                            <w:t>Any</w:t>
                          </w:r>
                          <w:r>
                            <w:rPr>
                              <w:spacing w:val="-10"/>
                            </w:rPr>
                            <w:t xml:space="preserve"> </w:t>
                          </w:r>
                          <w:r>
                            <w:t>opinions,</w:t>
                          </w:r>
                          <w:r>
                            <w:rPr>
                              <w:spacing w:val="-10"/>
                            </w:rPr>
                            <w:t xml:space="preserve"> </w:t>
                          </w:r>
                          <w:r>
                            <w:t>findings</w:t>
                          </w:r>
                          <w:r>
                            <w:rPr>
                              <w:spacing w:val="-9"/>
                            </w:rPr>
                            <w:t xml:space="preserve"> </w:t>
                          </w:r>
                          <w:r>
                            <w:t>and</w:t>
                          </w:r>
                          <w:r>
                            <w:rPr>
                              <w:spacing w:val="-10"/>
                            </w:rPr>
                            <w:t xml:space="preserve"> </w:t>
                          </w:r>
                          <w:r>
                            <w:t>conclusions</w:t>
                          </w:r>
                          <w:r>
                            <w:rPr>
                              <w:spacing w:val="-9"/>
                            </w:rPr>
                            <w:t xml:space="preserve"> </w:t>
                          </w:r>
                          <w:r>
                            <w:t>or</w:t>
                          </w:r>
                          <w:r>
                            <w:rPr>
                              <w:spacing w:val="-10"/>
                            </w:rPr>
                            <w:t xml:space="preserve"> </w:t>
                          </w:r>
                          <w:r>
                            <w:t>recommendations</w:t>
                          </w:r>
                          <w:r>
                            <w:rPr>
                              <w:spacing w:val="-9"/>
                            </w:rPr>
                            <w:t xml:space="preserve"> </w:t>
                          </w:r>
                          <w:r>
                            <w:t>expressed</w:t>
                          </w:r>
                          <w:r>
                            <w:rPr>
                              <w:spacing w:val="-42"/>
                            </w:rPr>
                            <w:t xml:space="preserve"> </w:t>
                          </w:r>
                          <w:r>
                            <w:t>in</w:t>
                          </w:r>
                          <w:r>
                            <w:rPr>
                              <w:spacing w:val="-10"/>
                            </w:rPr>
                            <w:t xml:space="preserve"> </w:t>
                          </w:r>
                          <w:r>
                            <w:t>this</w:t>
                          </w:r>
                          <w:r>
                            <w:rPr>
                              <w:spacing w:val="-10"/>
                            </w:rPr>
                            <w:t xml:space="preserve"> </w:t>
                          </w:r>
                          <w:r>
                            <w:t>material</w:t>
                          </w:r>
                          <w:r>
                            <w:rPr>
                              <w:spacing w:val="-9"/>
                            </w:rPr>
                            <w:t xml:space="preserve"> </w:t>
                          </w:r>
                          <w:r>
                            <w:t>are</w:t>
                          </w:r>
                          <w:r>
                            <w:rPr>
                              <w:spacing w:val="-10"/>
                            </w:rPr>
                            <w:t xml:space="preserve"> </w:t>
                          </w:r>
                          <w:r>
                            <w:t>those</w:t>
                          </w:r>
                          <w:r>
                            <w:rPr>
                              <w:spacing w:val="-9"/>
                            </w:rPr>
                            <w:t xml:space="preserve"> </w:t>
                          </w:r>
                          <w:r>
                            <w:t>of</w:t>
                          </w:r>
                          <w:r>
                            <w:rPr>
                              <w:spacing w:val="-10"/>
                            </w:rPr>
                            <w:t xml:space="preserve"> </w:t>
                          </w:r>
                          <w:r>
                            <w:t>the</w:t>
                          </w:r>
                          <w:r>
                            <w:rPr>
                              <w:spacing w:val="-9"/>
                            </w:rPr>
                            <w:t xml:space="preserve"> </w:t>
                          </w:r>
                          <w:r>
                            <w:t>author(s)</w:t>
                          </w:r>
                          <w:r>
                            <w:rPr>
                              <w:spacing w:val="-10"/>
                            </w:rPr>
                            <w:t xml:space="preserve"> </w:t>
                          </w:r>
                          <w:r>
                            <w:t>and</w:t>
                          </w:r>
                          <w:r>
                            <w:rPr>
                              <w:spacing w:val="-10"/>
                            </w:rPr>
                            <w:t xml:space="preserve"> </w:t>
                          </w:r>
                          <w:r>
                            <w:t>do</w:t>
                          </w:r>
                          <w:r>
                            <w:rPr>
                              <w:spacing w:val="-9"/>
                            </w:rPr>
                            <w:t xml:space="preserve"> </w:t>
                          </w:r>
                          <w:r>
                            <w:t>not</w:t>
                          </w:r>
                          <w:r>
                            <w:rPr>
                              <w:spacing w:val="-10"/>
                            </w:rPr>
                            <w:t xml:space="preserve"> </w:t>
                          </w:r>
                          <w:r>
                            <w:t>necessarily</w:t>
                          </w:r>
                          <w:r>
                            <w:rPr>
                              <w:spacing w:val="-9"/>
                            </w:rPr>
                            <w:t xml:space="preserve"> </w:t>
                          </w:r>
                          <w:r>
                            <w:t>reflect</w:t>
                          </w:r>
                          <w:r>
                            <w:rPr>
                              <w:spacing w:val="1"/>
                            </w:rPr>
                            <w:t xml:space="preserve"> </w:t>
                          </w:r>
                          <w:r>
                            <w:rPr>
                              <w:w w:val="95"/>
                            </w:rPr>
                            <w:t>the</w:t>
                          </w:r>
                          <w:r>
                            <w:rPr>
                              <w:spacing w:val="-2"/>
                              <w:w w:val="95"/>
                            </w:rPr>
                            <w:t xml:space="preserve"> </w:t>
                          </w:r>
                          <w:r>
                            <w:rPr>
                              <w:w w:val="95"/>
                            </w:rPr>
                            <w:t>view</w:t>
                          </w:r>
                          <w:r>
                            <w:rPr>
                              <w:spacing w:val="-1"/>
                              <w:w w:val="95"/>
                            </w:rPr>
                            <w:t xml:space="preserve"> </w:t>
                          </w:r>
                          <w:r>
                            <w:rPr>
                              <w:w w:val="95"/>
                            </w:rPr>
                            <w:t>of</w:t>
                          </w:r>
                          <w:r>
                            <w:rPr>
                              <w:spacing w:val="-1"/>
                              <w:w w:val="95"/>
                            </w:rPr>
                            <w:t xml:space="preserve"> </w:t>
                          </w:r>
                          <w:r>
                            <w:rPr>
                              <w:w w:val="95"/>
                            </w:rPr>
                            <w:t>NSF,</w:t>
                          </w:r>
                          <w:r>
                            <w:rPr>
                              <w:spacing w:val="-2"/>
                              <w:w w:val="95"/>
                            </w:rPr>
                            <w:t xml:space="preserve"> </w:t>
                          </w:r>
                          <w:r>
                            <w:rPr>
                              <w:w w:val="95"/>
                            </w:rPr>
                            <w:t>Wellcome,</w:t>
                          </w:r>
                          <w:r>
                            <w:rPr>
                              <w:spacing w:val="-1"/>
                              <w:w w:val="95"/>
                            </w:rPr>
                            <w:t xml:space="preserve"> </w:t>
                          </w:r>
                          <w:r>
                            <w:rPr>
                              <w:w w:val="95"/>
                            </w:rPr>
                            <w:t>or</w:t>
                          </w:r>
                          <w:r>
                            <w:rPr>
                              <w:spacing w:val="-1"/>
                              <w:w w:val="95"/>
                            </w:rPr>
                            <w:t xml:space="preserve"> </w:t>
                          </w:r>
                          <w:r>
                            <w:rPr>
                              <w:w w:val="95"/>
                            </w:rPr>
                            <w:t>ESRC.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070E0" id="Text Box 35" o:spid="_x0000_s1029" type="#_x0000_t202" style="position:absolute;margin-left:32.85pt;margin-top:729.75pt;width:251.6pt;height:41.5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" filled="f" stroked="f">
              <v:textbox inset="0,0,0,0">
                <w:txbxContent>
                  <w:p w14:paraId="26886057" w14:textId="77777777" w:rsidR="00181EFE" w:rsidRDefault="00710FEC" w:rsidP="003F27A3">
                    <w:r>
                      <w:t>Disclaimer</w:t>
                    </w:r>
                  </w:p>
                  <w:p w14:paraId="58E4B74E" w14:textId="77777777" w:rsidR="00181EFE" w:rsidRDefault="00710FEC" w:rsidP="003F27A3">
                    <w:r>
                      <w:t>Any</w:t>
                    </w:r>
                    <w:r>
                      <w:rPr>
                        <w:spacing w:val="-10"/>
                      </w:rPr>
                      <w:t xml:space="preserve"> </w:t>
                    </w:r>
                    <w:r>
                      <w:t>opinions,</w:t>
                    </w:r>
                    <w:r>
                      <w:rPr>
                        <w:spacing w:val="-10"/>
                      </w:rPr>
                      <w:t xml:space="preserve"> </w:t>
                    </w:r>
                    <w:r>
                      <w:t>findings</w:t>
                    </w:r>
                    <w:r>
                      <w:rPr>
                        <w:spacing w:val="-9"/>
                      </w:rPr>
                      <w:t xml:space="preserve"> </w:t>
                    </w:r>
                    <w:r>
                      <w:t>and</w:t>
                    </w:r>
                    <w:r>
                      <w:rPr>
                        <w:spacing w:val="-10"/>
                      </w:rPr>
                      <w:t xml:space="preserve"> </w:t>
                    </w:r>
                    <w:r>
                      <w:t>conclusions</w:t>
                    </w:r>
                    <w:r>
                      <w:rPr>
                        <w:spacing w:val="-9"/>
                      </w:rPr>
                      <w:t xml:space="preserve"> </w:t>
                    </w:r>
                    <w:r>
                      <w:t>or</w:t>
                    </w:r>
                    <w:r>
                      <w:rPr>
                        <w:spacing w:val="-10"/>
                      </w:rPr>
                      <w:t xml:space="preserve"> </w:t>
                    </w:r>
                    <w:r>
                      <w:t>recommendations</w:t>
                    </w:r>
                    <w:r>
                      <w:rPr>
                        <w:spacing w:val="-9"/>
                      </w:rPr>
                      <w:t xml:space="preserve"> </w:t>
                    </w:r>
                    <w:r>
                      <w:t>expressed</w:t>
                    </w:r>
                    <w:r>
                      <w:rPr>
                        <w:spacing w:val="-42"/>
                      </w:rPr>
                      <w:t xml:space="preserve"> </w:t>
                    </w:r>
                    <w:r>
                      <w:t>in</w:t>
                    </w:r>
                    <w:r>
                      <w:rPr>
                        <w:spacing w:val="-10"/>
                      </w:rPr>
                      <w:t xml:space="preserve"> </w:t>
                    </w:r>
                    <w:r>
                      <w:t>this</w:t>
                    </w:r>
                    <w:r>
                      <w:rPr>
                        <w:spacing w:val="-10"/>
                      </w:rPr>
                      <w:t xml:space="preserve"> </w:t>
                    </w:r>
                    <w:r>
                      <w:t>material</w:t>
                    </w:r>
                    <w:r>
                      <w:rPr>
                        <w:spacing w:val="-9"/>
                      </w:rPr>
                      <w:t xml:space="preserve"> </w:t>
                    </w:r>
                    <w:r>
                      <w:t>are</w:t>
                    </w:r>
                    <w:r>
                      <w:rPr>
                        <w:spacing w:val="-10"/>
                      </w:rPr>
                      <w:t xml:space="preserve"> </w:t>
                    </w:r>
                    <w:r>
                      <w:t>those</w:t>
                    </w:r>
                    <w:r>
                      <w:rPr>
                        <w:spacing w:val="-9"/>
                      </w:rPr>
                      <w:t xml:space="preserve"> </w:t>
                    </w:r>
                    <w:r>
                      <w:t>of</w:t>
                    </w:r>
                    <w:r>
                      <w:rPr>
                        <w:spacing w:val="-10"/>
                      </w:rPr>
                      <w:t xml:space="preserve"> </w:t>
                    </w:r>
                    <w:r>
                      <w:t>the</w:t>
                    </w:r>
                    <w:r>
                      <w:rPr>
                        <w:spacing w:val="-9"/>
                      </w:rPr>
                      <w:t xml:space="preserve"> </w:t>
                    </w:r>
                    <w:r>
                      <w:t>author(s)</w:t>
                    </w:r>
                    <w:r>
                      <w:rPr>
                        <w:spacing w:val="-10"/>
                      </w:rPr>
                      <w:t xml:space="preserve"> </w:t>
                    </w:r>
                    <w:r>
                      <w:t>and</w:t>
                    </w:r>
                    <w:r>
                      <w:rPr>
                        <w:spacing w:val="-10"/>
                      </w:rPr>
                      <w:t xml:space="preserve"> </w:t>
                    </w:r>
                    <w:r>
                      <w:t>do</w:t>
                    </w:r>
                    <w:r>
                      <w:rPr>
                        <w:spacing w:val="-9"/>
                      </w:rPr>
                      <w:t xml:space="preserve"> </w:t>
                    </w:r>
                    <w:r>
                      <w:t>not</w:t>
                    </w:r>
                    <w:r>
                      <w:rPr>
                        <w:spacing w:val="-10"/>
                      </w:rPr>
                      <w:t xml:space="preserve"> </w:t>
                    </w:r>
                    <w:r>
                      <w:t>necessarily</w:t>
                    </w:r>
                    <w:r>
                      <w:rPr>
                        <w:spacing w:val="-9"/>
                      </w:rPr>
                      <w:t xml:space="preserve"> </w:t>
                    </w:r>
                    <w:r>
                      <w:t>reflect</w:t>
                    </w:r>
                    <w:r>
                      <w:rPr>
                        <w:spacing w:val="1"/>
                      </w:rPr>
                      <w:t xml:space="preserve"> </w:t>
                    </w:r>
                    <w:r>
                      <w:rPr>
                        <w:w w:val="95"/>
                      </w:rPr>
                      <w:t>the</w:t>
                    </w:r>
                    <w:r>
                      <w:rPr>
                        <w:spacing w:val="-2"/>
                        <w:w w:val="95"/>
                      </w:rPr>
                      <w:t xml:space="preserve"> </w:t>
                    </w:r>
                    <w:r>
                      <w:rPr>
                        <w:w w:val="95"/>
                      </w:rPr>
                      <w:t>view</w:t>
                    </w:r>
                    <w:r>
                      <w:rPr>
                        <w:spacing w:val="-1"/>
                        <w:w w:val="95"/>
                      </w:rPr>
                      <w:t xml:space="preserve"> </w:t>
                    </w:r>
                    <w:r>
                      <w:rPr>
                        <w:w w:val="95"/>
                      </w:rPr>
                      <w:t>of</w:t>
                    </w:r>
                    <w:r>
                      <w:rPr>
                        <w:spacing w:val="-1"/>
                        <w:w w:val="95"/>
                      </w:rPr>
                      <w:t xml:space="preserve"> </w:t>
                    </w:r>
                    <w:r>
                      <w:rPr>
                        <w:w w:val="95"/>
                      </w:rPr>
                      <w:t>NSF,</w:t>
                    </w:r>
                    <w:r>
                      <w:rPr>
                        <w:spacing w:val="-2"/>
                        <w:w w:val="95"/>
                      </w:rPr>
                      <w:t xml:space="preserve"> </w:t>
                    </w:r>
                    <w:r>
                      <w:rPr>
                        <w:w w:val="95"/>
                      </w:rPr>
                      <w:t>Wellcome,</w:t>
                    </w:r>
                    <w:r>
                      <w:rPr>
                        <w:spacing w:val="-1"/>
                        <w:w w:val="95"/>
                      </w:rPr>
                      <w:t xml:space="preserve"> </w:t>
                    </w:r>
                    <w:r>
                      <w:rPr>
                        <w:w w:val="95"/>
                      </w:rPr>
                      <w:t>or</w:t>
                    </w:r>
                    <w:r>
                      <w:rPr>
                        <w:spacing w:val="-1"/>
                        <w:w w:val="95"/>
                      </w:rPr>
                      <w:t xml:space="preserve"> </w:t>
                    </w:r>
                    <w:r>
                      <w:rPr>
                        <w:w w:val="95"/>
                      </w:rPr>
                      <w:t>ESRC.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0D64" w14:textId="77777777" w:rsidR="00781963" w:rsidRDefault="00710FEC" w:rsidP="003F27A3">
      <w:r>
        <w:separator/>
      </w:r>
    </w:p>
  </w:footnote>
  <w:footnote w:type="continuationSeparator" w:id="0">
    <w:p w14:paraId="23239692" w14:textId="77777777" w:rsidR="00781963" w:rsidRDefault="00710FEC" w:rsidP="003F27A3">
      <w:r>
        <w:continuationSeparator/>
      </w:r>
    </w:p>
  </w:footnote>
  <w:footnote w:id="1">
    <w:p w14:paraId="30F34606" w14:textId="20097F1F" w:rsidR="00115BC7" w:rsidRPr="00115BC7" w:rsidRDefault="00115BC7" w:rsidP="003F27A3">
      <w:pPr>
        <w:pStyle w:val="FootnoteText"/>
        <w:rPr>
          <w:lang w:val="en-GB"/>
        </w:rPr>
      </w:pPr>
      <w:r>
        <w:rPr>
          <w:rStyle w:val="FootnoteReference"/>
        </w:rPr>
        <w:footnoteRef/>
      </w:r>
      <w:r>
        <w:t xml:space="preserve"> </w:t>
      </w:r>
      <w:r w:rsidR="0090798C">
        <w:t>We use the term ‘minoritised’ as a shorthand for individuals and communities who are minoritised by dominant culture/society. Using ‘minoritised’</w:t>
      </w:r>
      <w:r w:rsidR="0090798C">
        <w:t xml:space="preserve"> </w:t>
      </w:r>
      <w:r w:rsidR="0090798C">
        <w:t xml:space="preserve">rather than ‘minority’ puts the emphasis on the systemic issues and structures that are failing to sufficiently </w:t>
      </w:r>
      <w:proofErr w:type="spellStart"/>
      <w:r w:rsidR="0090798C">
        <w:t>recognise</w:t>
      </w:r>
      <w:proofErr w:type="spellEnd"/>
      <w:r w:rsidR="0090798C">
        <w:t>, support and value some people.</w:t>
      </w:r>
      <w:r w:rsidR="0090798C">
        <w:t xml:space="preserve"> </w:t>
      </w:r>
      <w:r w:rsidR="0090798C">
        <w:t>People can be minoritised within a particular society depending on their race/ethnicity, gender, socioeconomic background, dis/ability, sexuality and</w:t>
      </w:r>
      <w:r w:rsidR="0090798C">
        <w:t xml:space="preserve"> </w:t>
      </w:r>
      <w:r w:rsidR="0090798C">
        <w:t>other social axes. We acknowledge that labels are always imperfect and provisional and can vary in meaning and interpretation over time and between</w:t>
      </w:r>
      <w:r w:rsidR="0090798C">
        <w:t xml:space="preserve"> </w:t>
      </w:r>
      <w:r w:rsidR="0090798C">
        <w:t>contexts, e.g., internationally, across different professional sectors, communities and between researchers, practitioners and young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7A27" w14:textId="4FC33F96" w:rsidR="00181EFE" w:rsidRPr="00236D39" w:rsidRDefault="00181EFE" w:rsidP="003F2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D7E6" w14:textId="701B05E5" w:rsidR="00181EFE" w:rsidRDefault="00181EFE" w:rsidP="003F27A3">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AE67" w14:textId="11420C07" w:rsidR="00181EFE" w:rsidRDefault="00162301" w:rsidP="003F27A3">
    <w:pPr>
      <w:pStyle w:val="BodyText"/>
      <w:rPr>
        <w:sz w:val="20"/>
      </w:rPr>
    </w:pPr>
    <w:r>
      <w:rPr>
        <w:noProof/>
      </w:rPr>
      <mc:AlternateContent>
        <mc:Choice Requires="wps">
          <w:drawing>
            <wp:anchor distT="0" distB="0" distL="114300" distR="114300" simplePos="0" relativeHeight="251681792" behindDoc="1" locked="0" layoutInCell="1" allowOverlap="1" wp14:anchorId="43A5D620" wp14:editId="66CE3E89">
              <wp:simplePos x="0" y="0"/>
              <wp:positionH relativeFrom="page">
                <wp:posOffset>419100</wp:posOffset>
              </wp:positionH>
              <wp:positionV relativeFrom="page">
                <wp:posOffset>443230</wp:posOffset>
              </wp:positionV>
              <wp:extent cx="2641600" cy="26416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454BD" w14:textId="77777777" w:rsidR="00181EFE" w:rsidRDefault="00710FEC" w:rsidP="003F27A3">
                          <w:r>
                            <w:rPr>
                              <w:shd w:val="clear" w:color="auto" w:fill="006885"/>
                            </w:rPr>
                            <w:t xml:space="preserve"> </w:t>
                          </w:r>
                          <w:r>
                            <w:rPr>
                              <w:spacing w:val="-65"/>
                              <w:shd w:val="clear" w:color="auto" w:fill="006885"/>
                            </w:rPr>
                            <w:t xml:space="preserve"> </w:t>
                          </w:r>
                          <w:r>
                            <w:rPr>
                              <w:spacing w:val="-5"/>
                              <w:w w:val="105"/>
                              <w:shd w:val="clear" w:color="auto" w:fill="006885"/>
                            </w:rPr>
                            <w:t>About</w:t>
                          </w:r>
                          <w:r>
                            <w:rPr>
                              <w:spacing w:val="-19"/>
                              <w:w w:val="105"/>
                              <w:shd w:val="clear" w:color="auto" w:fill="006885"/>
                            </w:rPr>
                            <w:t xml:space="preserve"> </w:t>
                          </w:r>
                          <w:r>
                            <w:rPr>
                              <w:spacing w:val="-5"/>
                              <w:w w:val="105"/>
                              <w:shd w:val="clear" w:color="auto" w:fill="006885"/>
                            </w:rPr>
                            <w:t>the</w:t>
                          </w:r>
                          <w:r>
                            <w:rPr>
                              <w:spacing w:val="-18"/>
                              <w:w w:val="105"/>
                              <w:shd w:val="clear" w:color="auto" w:fill="006885"/>
                            </w:rPr>
                            <w:t xml:space="preserve"> </w:t>
                          </w:r>
                          <w:r>
                            <w:rPr>
                              <w:w w:val="105"/>
                              <w:shd w:val="clear" w:color="auto" w:fill="006885"/>
                            </w:rPr>
                            <w:t>YESTEM</w:t>
                          </w:r>
                          <w:r>
                            <w:rPr>
                              <w:spacing w:val="-18"/>
                              <w:w w:val="105"/>
                              <w:shd w:val="clear" w:color="auto" w:fill="006885"/>
                            </w:rPr>
                            <w:t xml:space="preserve"> </w:t>
                          </w:r>
                          <w:r>
                            <w:rPr>
                              <w:w w:val="105"/>
                              <w:shd w:val="clear" w:color="auto" w:fill="006885"/>
                            </w:rPr>
                            <w:t>project</w:t>
                          </w:r>
                          <w:r>
                            <w:rPr>
                              <w:spacing w:val="43"/>
                              <w:shd w:val="clear" w:color="auto" w:fill="00688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5D620" id="_x0000_t202" coordsize="21600,21600" o:spt="202" path="m,l,21600r21600,l21600,xe">
              <v:stroke joinstyle="miter"/>
              <v:path gradientshapeok="t" o:connecttype="rect"/>
            </v:shapetype>
            <v:shape id="Text Box 39" o:spid="_x0000_s1026" type="#_x0000_t202" style="position:absolute;margin-left:33pt;margin-top:34.9pt;width:208pt;height:20.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" filled="f" stroked="f">
              <v:textbox inset="0,0,0,0">
                <w:txbxContent>
                  <w:p w14:paraId="7CF454BD" w14:textId="77777777" w:rsidR="00181EFE" w:rsidRDefault="00710FEC" w:rsidP="003F27A3">
                    <w:r>
                      <w:rPr>
                        <w:shd w:val="clear" w:color="auto" w:fill="006885"/>
                      </w:rPr>
                      <w:t xml:space="preserve"> </w:t>
                    </w:r>
                    <w:r>
                      <w:rPr>
                        <w:spacing w:val="-65"/>
                        <w:shd w:val="clear" w:color="auto" w:fill="006885"/>
                      </w:rPr>
                      <w:t xml:space="preserve"> </w:t>
                    </w:r>
                    <w:r>
                      <w:rPr>
                        <w:spacing w:val="-5"/>
                        <w:w w:val="105"/>
                        <w:shd w:val="clear" w:color="auto" w:fill="006885"/>
                      </w:rPr>
                      <w:t>About</w:t>
                    </w:r>
                    <w:r>
                      <w:rPr>
                        <w:spacing w:val="-19"/>
                        <w:w w:val="105"/>
                        <w:shd w:val="clear" w:color="auto" w:fill="006885"/>
                      </w:rPr>
                      <w:t xml:space="preserve"> </w:t>
                    </w:r>
                    <w:r>
                      <w:rPr>
                        <w:spacing w:val="-5"/>
                        <w:w w:val="105"/>
                        <w:shd w:val="clear" w:color="auto" w:fill="006885"/>
                      </w:rPr>
                      <w:t>the</w:t>
                    </w:r>
                    <w:r>
                      <w:rPr>
                        <w:spacing w:val="-18"/>
                        <w:w w:val="105"/>
                        <w:shd w:val="clear" w:color="auto" w:fill="006885"/>
                      </w:rPr>
                      <w:t xml:space="preserve"> </w:t>
                    </w:r>
                    <w:r>
                      <w:rPr>
                        <w:w w:val="105"/>
                        <w:shd w:val="clear" w:color="auto" w:fill="006885"/>
                      </w:rPr>
                      <w:t>YESTEM</w:t>
                    </w:r>
                    <w:r>
                      <w:rPr>
                        <w:spacing w:val="-18"/>
                        <w:w w:val="105"/>
                        <w:shd w:val="clear" w:color="auto" w:fill="006885"/>
                      </w:rPr>
                      <w:t xml:space="preserve"> </w:t>
                    </w:r>
                    <w:r>
                      <w:rPr>
                        <w:w w:val="105"/>
                        <w:shd w:val="clear" w:color="auto" w:fill="006885"/>
                      </w:rPr>
                      <w:t>project</w:t>
                    </w:r>
                    <w:r>
                      <w:rPr>
                        <w:spacing w:val="43"/>
                        <w:shd w:val="clear" w:color="auto" w:fill="006885"/>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C3"/>
    <w:multiLevelType w:val="hybridMultilevel"/>
    <w:tmpl w:val="1ECA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37BD"/>
    <w:multiLevelType w:val="hybridMultilevel"/>
    <w:tmpl w:val="F67E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B7968"/>
    <w:multiLevelType w:val="hybridMultilevel"/>
    <w:tmpl w:val="9DAAF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B74FA"/>
    <w:multiLevelType w:val="hybridMultilevel"/>
    <w:tmpl w:val="F296E5E0"/>
    <w:lvl w:ilvl="0" w:tplc="CF348FC8">
      <w:numFmt w:val="bullet"/>
      <w:lvlText w:val="•"/>
      <w:lvlJc w:val="left"/>
      <w:pPr>
        <w:ind w:left="364" w:hanging="165"/>
      </w:pPr>
      <w:rPr>
        <w:rFonts w:hint="default"/>
        <w:w w:val="14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92D9D"/>
    <w:multiLevelType w:val="hybridMultilevel"/>
    <w:tmpl w:val="3C44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51F4B"/>
    <w:multiLevelType w:val="hybridMultilevel"/>
    <w:tmpl w:val="7520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74660"/>
    <w:multiLevelType w:val="hybridMultilevel"/>
    <w:tmpl w:val="43846FEA"/>
    <w:lvl w:ilvl="0" w:tplc="CF348FC8">
      <w:numFmt w:val="bullet"/>
      <w:lvlText w:val="•"/>
      <w:lvlJc w:val="left"/>
      <w:pPr>
        <w:ind w:left="364" w:hanging="165"/>
      </w:pPr>
      <w:rPr>
        <w:rFonts w:hint="default"/>
        <w:w w:val="142"/>
        <w:lang w:val="en-US" w:eastAsia="en-US" w:bidi="ar-SA"/>
      </w:rPr>
    </w:lvl>
    <w:lvl w:ilvl="1" w:tplc="72FC8F1E">
      <w:numFmt w:val="bullet"/>
      <w:lvlText w:val="•"/>
      <w:lvlJc w:val="left"/>
      <w:pPr>
        <w:ind w:left="597" w:hanging="227"/>
      </w:pPr>
      <w:rPr>
        <w:rFonts w:ascii="Arial MT" w:eastAsia="Arial MT" w:hAnsi="Arial MT" w:cs="Arial MT" w:hint="default"/>
        <w:color w:val="FFFFFF"/>
        <w:w w:val="142"/>
        <w:sz w:val="22"/>
        <w:szCs w:val="22"/>
        <w:lang w:val="en-US" w:eastAsia="en-US" w:bidi="ar-SA"/>
      </w:rPr>
    </w:lvl>
    <w:lvl w:ilvl="2" w:tplc="D5000378">
      <w:numFmt w:val="bullet"/>
      <w:lvlText w:val="•"/>
      <w:lvlJc w:val="left"/>
      <w:pPr>
        <w:ind w:left="1121" w:hanging="227"/>
      </w:pPr>
      <w:rPr>
        <w:rFonts w:hint="default"/>
        <w:lang w:val="en-US" w:eastAsia="en-US" w:bidi="ar-SA"/>
      </w:rPr>
    </w:lvl>
    <w:lvl w:ilvl="3" w:tplc="610448C0">
      <w:numFmt w:val="bullet"/>
      <w:lvlText w:val="•"/>
      <w:lvlJc w:val="left"/>
      <w:pPr>
        <w:ind w:left="1642" w:hanging="227"/>
      </w:pPr>
      <w:rPr>
        <w:rFonts w:hint="default"/>
        <w:lang w:val="en-US" w:eastAsia="en-US" w:bidi="ar-SA"/>
      </w:rPr>
    </w:lvl>
    <w:lvl w:ilvl="4" w:tplc="65D89FA6">
      <w:numFmt w:val="bullet"/>
      <w:lvlText w:val="•"/>
      <w:lvlJc w:val="left"/>
      <w:pPr>
        <w:ind w:left="2163" w:hanging="227"/>
      </w:pPr>
      <w:rPr>
        <w:rFonts w:hint="default"/>
        <w:lang w:val="en-US" w:eastAsia="en-US" w:bidi="ar-SA"/>
      </w:rPr>
    </w:lvl>
    <w:lvl w:ilvl="5" w:tplc="2E1A0014">
      <w:numFmt w:val="bullet"/>
      <w:lvlText w:val="•"/>
      <w:lvlJc w:val="left"/>
      <w:pPr>
        <w:ind w:left="2684" w:hanging="227"/>
      </w:pPr>
      <w:rPr>
        <w:rFonts w:hint="default"/>
        <w:lang w:val="en-US" w:eastAsia="en-US" w:bidi="ar-SA"/>
      </w:rPr>
    </w:lvl>
    <w:lvl w:ilvl="6" w:tplc="72CEAB40">
      <w:numFmt w:val="bullet"/>
      <w:lvlText w:val="•"/>
      <w:lvlJc w:val="left"/>
      <w:pPr>
        <w:ind w:left="3205" w:hanging="227"/>
      </w:pPr>
      <w:rPr>
        <w:rFonts w:hint="default"/>
        <w:lang w:val="en-US" w:eastAsia="en-US" w:bidi="ar-SA"/>
      </w:rPr>
    </w:lvl>
    <w:lvl w:ilvl="7" w:tplc="308A73D2">
      <w:numFmt w:val="bullet"/>
      <w:lvlText w:val="•"/>
      <w:lvlJc w:val="left"/>
      <w:pPr>
        <w:ind w:left="3726" w:hanging="227"/>
      </w:pPr>
      <w:rPr>
        <w:rFonts w:hint="default"/>
        <w:lang w:val="en-US" w:eastAsia="en-US" w:bidi="ar-SA"/>
      </w:rPr>
    </w:lvl>
    <w:lvl w:ilvl="8" w:tplc="BB9835EE">
      <w:numFmt w:val="bullet"/>
      <w:lvlText w:val="•"/>
      <w:lvlJc w:val="left"/>
      <w:pPr>
        <w:ind w:left="4247" w:hanging="227"/>
      </w:pPr>
      <w:rPr>
        <w:rFonts w:hint="default"/>
        <w:lang w:val="en-US" w:eastAsia="en-US" w:bidi="ar-SA"/>
      </w:rPr>
    </w:lvl>
  </w:abstractNum>
  <w:abstractNum w:abstractNumId="7" w15:restartNumberingAfterBreak="0">
    <w:nsid w:val="2B2A3423"/>
    <w:multiLevelType w:val="hybridMultilevel"/>
    <w:tmpl w:val="A86E100E"/>
    <w:lvl w:ilvl="0" w:tplc="CF348FC8">
      <w:numFmt w:val="bullet"/>
      <w:lvlText w:val="•"/>
      <w:lvlJc w:val="left"/>
      <w:pPr>
        <w:ind w:left="364" w:hanging="165"/>
      </w:pPr>
      <w:rPr>
        <w:rFonts w:hint="default"/>
        <w:w w:val="14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E2453"/>
    <w:multiLevelType w:val="hybridMultilevel"/>
    <w:tmpl w:val="9886C6A6"/>
    <w:lvl w:ilvl="0" w:tplc="CF348FC8">
      <w:numFmt w:val="bullet"/>
      <w:lvlText w:val="•"/>
      <w:lvlJc w:val="left"/>
      <w:pPr>
        <w:ind w:left="364" w:hanging="165"/>
      </w:pPr>
      <w:rPr>
        <w:rFonts w:hint="default"/>
        <w:w w:val="14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25726"/>
    <w:multiLevelType w:val="hybridMultilevel"/>
    <w:tmpl w:val="38C2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D4BC1"/>
    <w:multiLevelType w:val="hybridMultilevel"/>
    <w:tmpl w:val="E096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04E0B"/>
    <w:multiLevelType w:val="hybridMultilevel"/>
    <w:tmpl w:val="8C32DCCC"/>
    <w:lvl w:ilvl="0" w:tplc="32FE8FE2">
      <w:numFmt w:val="bullet"/>
      <w:lvlText w:val="•"/>
      <w:lvlJc w:val="left"/>
      <w:pPr>
        <w:ind w:left="497" w:hanging="227"/>
      </w:pPr>
      <w:rPr>
        <w:rFonts w:ascii="Arial MT" w:eastAsia="Arial MT" w:hAnsi="Arial MT" w:cs="Arial MT" w:hint="default"/>
        <w:color w:val="FFFFFF"/>
        <w:w w:val="142"/>
        <w:sz w:val="22"/>
        <w:szCs w:val="22"/>
        <w:lang w:val="en-US" w:eastAsia="en-US" w:bidi="ar-SA"/>
      </w:rPr>
    </w:lvl>
    <w:lvl w:ilvl="1" w:tplc="3384B8FA">
      <w:numFmt w:val="bullet"/>
      <w:lvlText w:val="•"/>
      <w:lvlJc w:val="left"/>
      <w:pPr>
        <w:ind w:left="1005" w:hanging="227"/>
      </w:pPr>
      <w:rPr>
        <w:rFonts w:hint="default"/>
        <w:lang w:val="en-US" w:eastAsia="en-US" w:bidi="ar-SA"/>
      </w:rPr>
    </w:lvl>
    <w:lvl w:ilvl="2" w:tplc="E2D81128">
      <w:numFmt w:val="bullet"/>
      <w:lvlText w:val="•"/>
      <w:lvlJc w:val="left"/>
      <w:pPr>
        <w:ind w:left="1511" w:hanging="227"/>
      </w:pPr>
      <w:rPr>
        <w:rFonts w:hint="default"/>
        <w:lang w:val="en-US" w:eastAsia="en-US" w:bidi="ar-SA"/>
      </w:rPr>
    </w:lvl>
    <w:lvl w:ilvl="3" w:tplc="A32C691C">
      <w:numFmt w:val="bullet"/>
      <w:lvlText w:val="•"/>
      <w:lvlJc w:val="left"/>
      <w:pPr>
        <w:ind w:left="2016" w:hanging="227"/>
      </w:pPr>
      <w:rPr>
        <w:rFonts w:hint="default"/>
        <w:lang w:val="en-US" w:eastAsia="en-US" w:bidi="ar-SA"/>
      </w:rPr>
    </w:lvl>
    <w:lvl w:ilvl="4" w:tplc="D910ECCA">
      <w:numFmt w:val="bullet"/>
      <w:lvlText w:val="•"/>
      <w:lvlJc w:val="left"/>
      <w:pPr>
        <w:ind w:left="2522" w:hanging="227"/>
      </w:pPr>
      <w:rPr>
        <w:rFonts w:hint="default"/>
        <w:lang w:val="en-US" w:eastAsia="en-US" w:bidi="ar-SA"/>
      </w:rPr>
    </w:lvl>
    <w:lvl w:ilvl="5" w:tplc="B98E3392">
      <w:numFmt w:val="bullet"/>
      <w:lvlText w:val="•"/>
      <w:lvlJc w:val="left"/>
      <w:pPr>
        <w:ind w:left="3027" w:hanging="227"/>
      </w:pPr>
      <w:rPr>
        <w:rFonts w:hint="default"/>
        <w:lang w:val="en-US" w:eastAsia="en-US" w:bidi="ar-SA"/>
      </w:rPr>
    </w:lvl>
    <w:lvl w:ilvl="6" w:tplc="F3E2EFF8">
      <w:numFmt w:val="bullet"/>
      <w:lvlText w:val="•"/>
      <w:lvlJc w:val="left"/>
      <w:pPr>
        <w:ind w:left="3533" w:hanging="227"/>
      </w:pPr>
      <w:rPr>
        <w:rFonts w:hint="default"/>
        <w:lang w:val="en-US" w:eastAsia="en-US" w:bidi="ar-SA"/>
      </w:rPr>
    </w:lvl>
    <w:lvl w:ilvl="7" w:tplc="87042D00">
      <w:numFmt w:val="bullet"/>
      <w:lvlText w:val="•"/>
      <w:lvlJc w:val="left"/>
      <w:pPr>
        <w:ind w:left="4038" w:hanging="227"/>
      </w:pPr>
      <w:rPr>
        <w:rFonts w:hint="default"/>
        <w:lang w:val="en-US" w:eastAsia="en-US" w:bidi="ar-SA"/>
      </w:rPr>
    </w:lvl>
    <w:lvl w:ilvl="8" w:tplc="CCD48DB0">
      <w:numFmt w:val="bullet"/>
      <w:lvlText w:val="•"/>
      <w:lvlJc w:val="left"/>
      <w:pPr>
        <w:ind w:left="4544" w:hanging="227"/>
      </w:pPr>
      <w:rPr>
        <w:rFonts w:hint="default"/>
        <w:lang w:val="en-US" w:eastAsia="en-US" w:bidi="ar-SA"/>
      </w:rPr>
    </w:lvl>
  </w:abstractNum>
  <w:abstractNum w:abstractNumId="12" w15:restartNumberingAfterBreak="0">
    <w:nsid w:val="7E0723C8"/>
    <w:multiLevelType w:val="hybridMultilevel"/>
    <w:tmpl w:val="AF0A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0934820">
    <w:abstractNumId w:val="11"/>
  </w:num>
  <w:num w:numId="2" w16cid:durableId="14500654">
    <w:abstractNumId w:val="6"/>
  </w:num>
  <w:num w:numId="3" w16cid:durableId="948586230">
    <w:abstractNumId w:val="2"/>
  </w:num>
  <w:num w:numId="4" w16cid:durableId="1569070607">
    <w:abstractNumId w:val="9"/>
  </w:num>
  <w:num w:numId="5" w16cid:durableId="604970009">
    <w:abstractNumId w:val="5"/>
  </w:num>
  <w:num w:numId="6" w16cid:durableId="651569330">
    <w:abstractNumId w:val="0"/>
  </w:num>
  <w:num w:numId="7" w16cid:durableId="2007323923">
    <w:abstractNumId w:val="12"/>
  </w:num>
  <w:num w:numId="8" w16cid:durableId="540095896">
    <w:abstractNumId w:val="10"/>
  </w:num>
  <w:num w:numId="9" w16cid:durableId="1210647288">
    <w:abstractNumId w:val="1"/>
  </w:num>
  <w:num w:numId="10" w16cid:durableId="1661040044">
    <w:abstractNumId w:val="4"/>
  </w:num>
  <w:num w:numId="11" w16cid:durableId="1415392806">
    <w:abstractNumId w:val="7"/>
  </w:num>
  <w:num w:numId="12" w16cid:durableId="1554463434">
    <w:abstractNumId w:val="3"/>
  </w:num>
  <w:num w:numId="13" w16cid:durableId="1548683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FE"/>
    <w:rsid w:val="00001F19"/>
    <w:rsid w:val="00017112"/>
    <w:rsid w:val="00057190"/>
    <w:rsid w:val="000929F5"/>
    <w:rsid w:val="000C2E3A"/>
    <w:rsid w:val="000E27A9"/>
    <w:rsid w:val="00103FFA"/>
    <w:rsid w:val="00115BC7"/>
    <w:rsid w:val="001515C7"/>
    <w:rsid w:val="00162301"/>
    <w:rsid w:val="0018098E"/>
    <w:rsid w:val="00181EFE"/>
    <w:rsid w:val="0018428D"/>
    <w:rsid w:val="0019199A"/>
    <w:rsid w:val="00236D39"/>
    <w:rsid w:val="00311F4F"/>
    <w:rsid w:val="00314450"/>
    <w:rsid w:val="00314D31"/>
    <w:rsid w:val="0034002C"/>
    <w:rsid w:val="003666DE"/>
    <w:rsid w:val="003957B6"/>
    <w:rsid w:val="003A79B1"/>
    <w:rsid w:val="003B0B85"/>
    <w:rsid w:val="003C1C2E"/>
    <w:rsid w:val="003C4652"/>
    <w:rsid w:val="003D2AAA"/>
    <w:rsid w:val="003F27A3"/>
    <w:rsid w:val="004048D7"/>
    <w:rsid w:val="00416242"/>
    <w:rsid w:val="004656BE"/>
    <w:rsid w:val="004A5D5C"/>
    <w:rsid w:val="00535311"/>
    <w:rsid w:val="00536E99"/>
    <w:rsid w:val="005754BD"/>
    <w:rsid w:val="00596BF3"/>
    <w:rsid w:val="005C27AD"/>
    <w:rsid w:val="005E53BA"/>
    <w:rsid w:val="00602645"/>
    <w:rsid w:val="00677919"/>
    <w:rsid w:val="006A234C"/>
    <w:rsid w:val="00710FEC"/>
    <w:rsid w:val="007435C8"/>
    <w:rsid w:val="00772041"/>
    <w:rsid w:val="00781963"/>
    <w:rsid w:val="007F4307"/>
    <w:rsid w:val="008363A2"/>
    <w:rsid w:val="008670E0"/>
    <w:rsid w:val="008E1BC0"/>
    <w:rsid w:val="008F3793"/>
    <w:rsid w:val="0090798C"/>
    <w:rsid w:val="00970E30"/>
    <w:rsid w:val="00986547"/>
    <w:rsid w:val="009B589A"/>
    <w:rsid w:val="009C4ECC"/>
    <w:rsid w:val="009D49BE"/>
    <w:rsid w:val="00AA429F"/>
    <w:rsid w:val="00B5165E"/>
    <w:rsid w:val="00B92CA0"/>
    <w:rsid w:val="00BE2DC6"/>
    <w:rsid w:val="00BE6EEF"/>
    <w:rsid w:val="00BF1F99"/>
    <w:rsid w:val="00C36D9A"/>
    <w:rsid w:val="00CD3273"/>
    <w:rsid w:val="00D44CF4"/>
    <w:rsid w:val="00F24DDE"/>
    <w:rsid w:val="00FC2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3272FD"/>
  <w15:docId w15:val="{563109D9-3202-4195-9212-9C8E182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A3"/>
    <w:pPr>
      <w:spacing w:after="120"/>
    </w:pPr>
    <w:rPr>
      <w:rFonts w:ascii="Arial" w:eastAsia="Arial MT" w:hAnsi="Arial" w:cs="Arial"/>
    </w:rPr>
  </w:style>
  <w:style w:type="paragraph" w:styleId="Heading1">
    <w:name w:val="heading 1"/>
    <w:basedOn w:val="Normal"/>
    <w:uiPriority w:val="9"/>
    <w:qFormat/>
    <w:rsid w:val="00CD3273"/>
    <w:pPr>
      <w:spacing w:before="187"/>
      <w:outlineLvl w:val="0"/>
    </w:pPr>
    <w:rPr>
      <w:b/>
      <w:w w:val="95"/>
      <w:sz w:val="28"/>
    </w:rPr>
  </w:style>
  <w:style w:type="paragraph" w:styleId="Heading2">
    <w:name w:val="heading 2"/>
    <w:basedOn w:val="Normal"/>
    <w:uiPriority w:val="9"/>
    <w:unhideWhenUsed/>
    <w:qFormat/>
    <w:rsid w:val="00B92CA0"/>
    <w:pPr>
      <w:spacing w:before="227"/>
      <w:outlineLvl w:val="1"/>
    </w:pPr>
    <w:rPr>
      <w:rFonts w:eastAsia="Arial"/>
      <w:b/>
      <w:bCs/>
      <w:color w:val="006885"/>
      <w:w w:val="95"/>
      <w:sz w:val="28"/>
      <w:szCs w:val="28"/>
    </w:rPr>
  </w:style>
  <w:style w:type="paragraph" w:styleId="Heading3">
    <w:name w:val="heading 3"/>
    <w:basedOn w:val="Normal"/>
    <w:uiPriority w:val="9"/>
    <w:unhideWhenUsed/>
    <w:qFormat/>
    <w:rsid w:val="003F27A3"/>
    <w:pPr>
      <w:spacing w:after="0"/>
      <w:outlineLvl w:val="2"/>
    </w:pPr>
    <w:rPr>
      <w:b/>
      <w:bCs/>
      <w:color w:val="00688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00" w:hanging="227"/>
    </w:pPr>
  </w:style>
  <w:style w:type="paragraph" w:customStyle="1" w:styleId="TableParagraph">
    <w:name w:val="Table Paragraph"/>
    <w:basedOn w:val="Normal"/>
    <w:uiPriority w:val="1"/>
    <w:qFormat/>
    <w:pPr>
      <w:spacing w:before="56"/>
      <w:ind w:left="113"/>
    </w:pPr>
  </w:style>
  <w:style w:type="paragraph" w:styleId="Header">
    <w:name w:val="header"/>
    <w:basedOn w:val="Normal"/>
    <w:link w:val="HeaderChar"/>
    <w:uiPriority w:val="99"/>
    <w:unhideWhenUsed/>
    <w:rsid w:val="00C36D9A"/>
    <w:pPr>
      <w:tabs>
        <w:tab w:val="center" w:pos="4513"/>
        <w:tab w:val="right" w:pos="9026"/>
      </w:tabs>
    </w:pPr>
  </w:style>
  <w:style w:type="character" w:customStyle="1" w:styleId="HeaderChar">
    <w:name w:val="Header Char"/>
    <w:basedOn w:val="DefaultParagraphFont"/>
    <w:link w:val="Header"/>
    <w:uiPriority w:val="99"/>
    <w:rsid w:val="00C36D9A"/>
    <w:rPr>
      <w:rFonts w:ascii="Arial MT" w:eastAsia="Arial MT" w:hAnsi="Arial MT" w:cs="Arial MT"/>
    </w:rPr>
  </w:style>
  <w:style w:type="paragraph" w:styleId="Footer">
    <w:name w:val="footer"/>
    <w:basedOn w:val="Normal"/>
    <w:link w:val="FooterChar"/>
    <w:uiPriority w:val="99"/>
    <w:unhideWhenUsed/>
    <w:rsid w:val="00C36D9A"/>
    <w:pPr>
      <w:tabs>
        <w:tab w:val="center" w:pos="4513"/>
        <w:tab w:val="right" w:pos="9026"/>
      </w:tabs>
    </w:pPr>
  </w:style>
  <w:style w:type="character" w:customStyle="1" w:styleId="FooterChar">
    <w:name w:val="Footer Char"/>
    <w:basedOn w:val="DefaultParagraphFont"/>
    <w:link w:val="Footer"/>
    <w:uiPriority w:val="99"/>
    <w:rsid w:val="00C36D9A"/>
    <w:rPr>
      <w:rFonts w:ascii="Arial MT" w:eastAsia="Arial MT" w:hAnsi="Arial MT" w:cs="Arial MT"/>
    </w:rPr>
  </w:style>
  <w:style w:type="paragraph" w:styleId="NoSpacing">
    <w:name w:val="No Spacing"/>
    <w:uiPriority w:val="1"/>
    <w:qFormat/>
    <w:rsid w:val="00057190"/>
    <w:pPr>
      <w:widowControl/>
      <w:autoSpaceDE/>
      <w:autoSpaceDN/>
    </w:pPr>
    <w:rPr>
      <w:lang w:val="en-GB"/>
    </w:rPr>
  </w:style>
  <w:style w:type="table" w:styleId="TableGrid">
    <w:name w:val="Table Grid"/>
    <w:basedOn w:val="TableNormal"/>
    <w:uiPriority w:val="39"/>
    <w:rsid w:val="0005719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FEC"/>
    <w:rPr>
      <w:color w:val="0000FF" w:themeColor="hyperlink"/>
      <w:u w:val="single"/>
    </w:rPr>
  </w:style>
  <w:style w:type="character" w:styleId="UnresolvedMention">
    <w:name w:val="Unresolved Mention"/>
    <w:basedOn w:val="DefaultParagraphFont"/>
    <w:uiPriority w:val="99"/>
    <w:semiHidden/>
    <w:unhideWhenUsed/>
    <w:rsid w:val="00710FEC"/>
    <w:rPr>
      <w:color w:val="605E5C"/>
      <w:shd w:val="clear" w:color="auto" w:fill="E1DFDD"/>
    </w:rPr>
  </w:style>
  <w:style w:type="paragraph" w:styleId="FootnoteText">
    <w:name w:val="footnote text"/>
    <w:basedOn w:val="Normal"/>
    <w:link w:val="FootnoteTextChar"/>
    <w:uiPriority w:val="99"/>
    <w:unhideWhenUsed/>
    <w:rsid w:val="004A5D5C"/>
    <w:pPr>
      <w:spacing w:after="0"/>
    </w:pPr>
    <w:rPr>
      <w:sz w:val="20"/>
      <w:szCs w:val="20"/>
    </w:rPr>
  </w:style>
  <w:style w:type="character" w:customStyle="1" w:styleId="FootnoteTextChar">
    <w:name w:val="Footnote Text Char"/>
    <w:basedOn w:val="DefaultParagraphFont"/>
    <w:link w:val="FootnoteText"/>
    <w:uiPriority w:val="99"/>
    <w:rsid w:val="004A5D5C"/>
    <w:rPr>
      <w:rFonts w:ascii="Arial" w:eastAsia="Arial MT" w:hAnsi="Arial" w:cs="Arial"/>
      <w:sz w:val="20"/>
      <w:szCs w:val="20"/>
    </w:rPr>
  </w:style>
  <w:style w:type="character" w:styleId="FootnoteReference">
    <w:name w:val="footnote reference"/>
    <w:basedOn w:val="DefaultParagraphFont"/>
    <w:uiPriority w:val="99"/>
    <w:semiHidden/>
    <w:unhideWhenUsed/>
    <w:rsid w:val="004A5D5C"/>
    <w:rPr>
      <w:vertAlign w:val="superscript"/>
    </w:rPr>
  </w:style>
  <w:style w:type="paragraph" w:customStyle="1" w:styleId="Pa2">
    <w:name w:val="Pa2"/>
    <w:basedOn w:val="Normal"/>
    <w:next w:val="Normal"/>
    <w:uiPriority w:val="99"/>
    <w:rsid w:val="000929F5"/>
    <w:pPr>
      <w:widowControl/>
      <w:adjustRightInd w:val="0"/>
      <w:spacing w:after="0" w:line="241" w:lineRule="atLeast"/>
    </w:pPr>
    <w:rPr>
      <w:rFonts w:ascii="HelveticaNeueLT Std" w:eastAsiaTheme="minorHAnsi" w:hAnsi="HelveticaNeueLT Std" w:cstheme="minorBidi"/>
      <w:sz w:val="24"/>
      <w:szCs w:val="24"/>
      <w:lang w:val="en-GB"/>
    </w:rPr>
  </w:style>
  <w:style w:type="character" w:customStyle="1" w:styleId="A1">
    <w:name w:val="A1"/>
    <w:uiPriority w:val="99"/>
    <w:rsid w:val="000929F5"/>
    <w:rPr>
      <w:rFonts w:cs="HelveticaNeueLT Std"/>
      <w:color w:val="000000"/>
      <w:sz w:val="16"/>
      <w:szCs w:val="16"/>
    </w:rPr>
  </w:style>
  <w:style w:type="paragraph" w:customStyle="1" w:styleId="Pa1">
    <w:name w:val="Pa1"/>
    <w:basedOn w:val="Normal"/>
    <w:next w:val="Normal"/>
    <w:uiPriority w:val="99"/>
    <w:rsid w:val="000929F5"/>
    <w:pPr>
      <w:widowControl/>
      <w:adjustRightInd w:val="0"/>
      <w:spacing w:after="0" w:line="241" w:lineRule="atLeast"/>
    </w:pPr>
    <w:rPr>
      <w:rFonts w:ascii="HelveticaNeueLT Std" w:eastAsiaTheme="minorHAnsi" w:hAnsi="HelveticaNeueLT Std" w:cstheme="minorBidi"/>
      <w:sz w:val="24"/>
      <w:szCs w:val="24"/>
      <w:lang w:val="en-GB"/>
    </w:rPr>
  </w:style>
  <w:style w:type="paragraph" w:styleId="Caption">
    <w:name w:val="caption"/>
    <w:basedOn w:val="Normal"/>
    <w:next w:val="Normal"/>
    <w:uiPriority w:val="35"/>
    <w:unhideWhenUsed/>
    <w:qFormat/>
    <w:rsid w:val="005E53BA"/>
    <w:pPr>
      <w:spacing w:after="200"/>
    </w:pPr>
    <w:rPr>
      <w:i/>
      <w:iCs/>
      <w:sz w:val="18"/>
      <w:szCs w:val="18"/>
    </w:rPr>
  </w:style>
  <w:style w:type="character" w:styleId="CommentReference">
    <w:name w:val="annotation reference"/>
    <w:basedOn w:val="DefaultParagraphFont"/>
    <w:uiPriority w:val="99"/>
    <w:semiHidden/>
    <w:unhideWhenUsed/>
    <w:rsid w:val="00BE2DC6"/>
    <w:rPr>
      <w:sz w:val="16"/>
      <w:szCs w:val="16"/>
    </w:rPr>
  </w:style>
  <w:style w:type="paragraph" w:styleId="CommentText">
    <w:name w:val="annotation text"/>
    <w:basedOn w:val="Normal"/>
    <w:link w:val="CommentTextChar"/>
    <w:uiPriority w:val="99"/>
    <w:semiHidden/>
    <w:unhideWhenUsed/>
    <w:rsid w:val="00BE2DC6"/>
    <w:rPr>
      <w:sz w:val="20"/>
      <w:szCs w:val="20"/>
    </w:rPr>
  </w:style>
  <w:style w:type="character" w:customStyle="1" w:styleId="CommentTextChar">
    <w:name w:val="Comment Text Char"/>
    <w:basedOn w:val="DefaultParagraphFont"/>
    <w:link w:val="CommentText"/>
    <w:uiPriority w:val="99"/>
    <w:semiHidden/>
    <w:rsid w:val="00BE2DC6"/>
    <w:rPr>
      <w:rFonts w:ascii="Arial" w:eastAsia="Arial MT" w:hAnsi="Arial" w:cs="Arial"/>
      <w:sz w:val="20"/>
      <w:szCs w:val="20"/>
    </w:rPr>
  </w:style>
  <w:style w:type="paragraph" w:styleId="CommentSubject">
    <w:name w:val="annotation subject"/>
    <w:basedOn w:val="CommentText"/>
    <w:next w:val="CommentText"/>
    <w:link w:val="CommentSubjectChar"/>
    <w:uiPriority w:val="99"/>
    <w:semiHidden/>
    <w:unhideWhenUsed/>
    <w:rsid w:val="00BE2DC6"/>
    <w:rPr>
      <w:b/>
      <w:bCs/>
    </w:rPr>
  </w:style>
  <w:style w:type="character" w:customStyle="1" w:styleId="CommentSubjectChar">
    <w:name w:val="Comment Subject Char"/>
    <w:basedOn w:val="CommentTextChar"/>
    <w:link w:val="CommentSubject"/>
    <w:uiPriority w:val="99"/>
    <w:semiHidden/>
    <w:rsid w:val="00BE2DC6"/>
    <w:rPr>
      <w:rFonts w:ascii="Arial" w:eastAsia="Arial MT"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estem.org/wp-content/uploads/2022/09/2022-YESTEM-Insight-Equity-Compass-Funders-Edition.pdf" TargetMode="External"/><Relationship Id="rId13" Type="http://schemas.openxmlformats.org/officeDocument/2006/relationships/hyperlink" Target="https://www.youtube.com/watch?v=WE4ksRCEoy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estem.org/wp-content/uploads/2022/03/Equity-Compass-for-ISL.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yestem.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uturelearn.com/courses/equity-informal-stem-learning-using-the-equity-compass/1)"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yestem.org/" TargetMode="External"/><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hyperlink" Target="https://twitter.com/yestem_uk?lang=en" TargetMode="External"/><Relationship Id="rId5" Type="http://schemas.openxmlformats.org/officeDocument/2006/relationships/hyperlink" Target="http://www.yestem.org/" TargetMode="External"/><Relationship Id="rId4" Type="http://schemas.openxmlformats.org/officeDocument/2006/relationships/hyperlink" Target="https://twitter.com/yestem_uk?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96FD4-505B-4EEE-BE67-A0B456D5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Spela Godec</dc:creator>
  <cp:keywords/>
  <dc:description/>
  <cp:lastModifiedBy>Godec, Spela</cp:lastModifiedBy>
  <cp:revision>4</cp:revision>
  <dcterms:created xsi:type="dcterms:W3CDTF">2022-10-18T10:58:00Z</dcterms:created>
  <dcterms:modified xsi:type="dcterms:W3CDTF">2022-10-18T14:27:00Z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2022-07-03T00:00:00Z</vt:filetime>
  </property>
</Properties>
</file>